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AFD" w:rsidRPr="00160AFD" w:rsidRDefault="00160AFD" w:rsidP="00160AFD">
      <w:pPr>
        <w:spacing w:after="0" w:line="240" w:lineRule="auto"/>
        <w:jc w:val="both"/>
        <w:rPr>
          <w:rFonts w:eastAsia="Times New Roman" w:cstheme="minorHAnsi"/>
          <w:sz w:val="20"/>
          <w:szCs w:val="20"/>
          <w:lang w:eastAsia="es-ES"/>
        </w:rPr>
      </w:pPr>
    </w:p>
    <w:p w:rsidR="00292D3A" w:rsidRPr="00292D3A" w:rsidRDefault="00292D3A" w:rsidP="00165A81">
      <w:pPr>
        <w:pStyle w:val="Sinespaciado"/>
        <w:numPr>
          <w:ilvl w:val="0"/>
          <w:numId w:val="9"/>
        </w:numPr>
        <w:jc w:val="both"/>
        <w:rPr>
          <w:rFonts w:eastAsia="Times New Roman" w:cstheme="minorHAnsi"/>
          <w:sz w:val="20"/>
          <w:szCs w:val="20"/>
          <w:lang w:val="es-ES"/>
        </w:rPr>
      </w:pPr>
      <w:r w:rsidRPr="00292D3A">
        <w:rPr>
          <w:rFonts w:eastAsia="Times New Roman" w:cstheme="minorHAnsi"/>
          <w:sz w:val="20"/>
          <w:szCs w:val="20"/>
          <w:lang w:val="es-ES"/>
        </w:rPr>
        <w:t>A MARY le acaban de diagnosticar cáncer en una etapa avanzada. Mary recibirá la atención médica más avanzada disponible para brindarle todas las posibilidades de supervivencia. Esta atención incluirá radioterapia extensa. La radioterapia consiste en utilizar una máquina de tratamiento de haz externo para pasar la radiación ionizante a través del cuerpo del paciente, dañando tanto los tejidos cancerosos como los sanos. Debido a la necesidad de equilibrar cuidadosamente todos estos factores, el diseño de la radioterapia es un proceso muy delicado.</w:t>
      </w:r>
    </w:p>
    <w:p w:rsidR="00292D3A" w:rsidRPr="00292D3A" w:rsidRDefault="00292D3A" w:rsidP="00292D3A">
      <w:pPr>
        <w:pStyle w:val="Sinespaciado"/>
        <w:ind w:left="720"/>
        <w:jc w:val="both"/>
        <w:rPr>
          <w:rFonts w:eastAsia="Times New Roman" w:cstheme="minorHAnsi"/>
          <w:sz w:val="20"/>
          <w:szCs w:val="20"/>
          <w:lang w:val="es-ES"/>
        </w:rPr>
      </w:pPr>
    </w:p>
    <w:p w:rsidR="00292D3A" w:rsidRPr="00292D3A" w:rsidRDefault="00292D3A" w:rsidP="00292D3A">
      <w:pPr>
        <w:pStyle w:val="Sinespaciado"/>
        <w:ind w:left="720"/>
        <w:jc w:val="both"/>
        <w:rPr>
          <w:rFonts w:eastAsia="Times New Roman" w:cstheme="minorHAnsi"/>
          <w:sz w:val="20"/>
          <w:szCs w:val="20"/>
          <w:lang w:val="es-ES"/>
        </w:rPr>
      </w:pPr>
      <w:r w:rsidRPr="00292D3A">
        <w:rPr>
          <w:rFonts w:eastAsia="Times New Roman" w:cstheme="minorHAnsi"/>
          <w:sz w:val="20"/>
          <w:szCs w:val="20"/>
          <w:lang w:val="es-ES"/>
        </w:rPr>
        <w:t xml:space="preserve">El objetivo del diseño es seleccionar la combinación de haces a utilizar y la intensidad de cada uno para generar la mejor distribución de dosis posible. La intensidad de la dosis en cualquier punto del cuerpo se mide en unidades llamadas </w:t>
      </w:r>
      <w:proofErr w:type="spellStart"/>
      <w:r w:rsidRPr="00292D3A">
        <w:rPr>
          <w:rFonts w:eastAsia="Times New Roman" w:cstheme="minorHAnsi"/>
          <w:sz w:val="20"/>
          <w:szCs w:val="20"/>
          <w:lang w:val="es-ES"/>
        </w:rPr>
        <w:t>kilorads</w:t>
      </w:r>
      <w:proofErr w:type="spellEnd"/>
      <w:r w:rsidRPr="00292D3A">
        <w:rPr>
          <w:rFonts w:eastAsia="Times New Roman" w:cstheme="minorHAnsi"/>
          <w:sz w:val="20"/>
          <w:szCs w:val="20"/>
          <w:lang w:val="es-ES"/>
        </w:rPr>
        <w:t>. Una vez que se ha desarrollado el diseño del tratamiento, se administra en muchos plazos, que se extienden a lo largo de varias semanas.</w:t>
      </w:r>
    </w:p>
    <w:p w:rsidR="00292D3A" w:rsidRPr="00292D3A" w:rsidRDefault="00292D3A" w:rsidP="00292D3A">
      <w:pPr>
        <w:pStyle w:val="Sinespaciado"/>
        <w:ind w:left="720"/>
        <w:jc w:val="both"/>
        <w:rPr>
          <w:rFonts w:eastAsia="Times New Roman" w:cstheme="minorHAnsi"/>
          <w:sz w:val="20"/>
          <w:szCs w:val="20"/>
          <w:lang w:val="es-ES"/>
        </w:rPr>
      </w:pPr>
    </w:p>
    <w:p w:rsidR="00292D3A" w:rsidRPr="00292D3A" w:rsidRDefault="00292D3A" w:rsidP="00292D3A">
      <w:pPr>
        <w:pStyle w:val="Sinespaciado"/>
        <w:ind w:left="720"/>
        <w:jc w:val="both"/>
        <w:rPr>
          <w:rFonts w:eastAsia="Times New Roman" w:cstheme="minorHAnsi"/>
          <w:sz w:val="20"/>
          <w:szCs w:val="20"/>
          <w:lang w:val="es-ES"/>
        </w:rPr>
      </w:pPr>
      <w:r w:rsidRPr="00292D3A">
        <w:rPr>
          <w:rFonts w:cstheme="minorHAnsi"/>
          <w:sz w:val="20"/>
          <w:szCs w:val="20"/>
          <w:shd w:val="clear" w:color="auto" w:fill="F8F9FA"/>
        </w:rPr>
        <w:t>En el caso de Mary, el tamaño y la ubicación de su tumor hacen que el diseño de su tratamiento sea un proceso aún más delicado de lo habitual. Después de un análisis exhaustivo de este tipo, el equipo médico ha estimado cuidadosamente los datos necesarios para diseñar el tratamiento de Mary, como se resume en la Tabla 3.7. La primera columna enumera las áreas del cuerpo que deben considerarse, y luego las dos columnas siguientes dan la fracción de la dosis de radiación en el punto de entrada para cada haz que es absorbido por las áreas respectivas en promedio.</w:t>
      </w:r>
      <w:r w:rsidRPr="00292D3A">
        <w:rPr>
          <w:rFonts w:cstheme="minorHAnsi"/>
          <w:sz w:val="20"/>
          <w:szCs w:val="20"/>
          <w:shd w:val="clear" w:color="auto" w:fill="F8F9FA"/>
        </w:rPr>
        <w:t xml:space="preserve"> </w:t>
      </w:r>
    </w:p>
    <w:p w:rsidR="00292D3A" w:rsidRPr="00292D3A" w:rsidRDefault="00292D3A" w:rsidP="00292D3A">
      <w:pPr>
        <w:pStyle w:val="Sinespaciado"/>
        <w:ind w:left="720"/>
        <w:jc w:val="both"/>
        <w:rPr>
          <w:rFonts w:eastAsia="Times New Roman" w:cstheme="minorHAnsi"/>
          <w:sz w:val="20"/>
          <w:szCs w:val="20"/>
          <w:lang w:val="es-ES"/>
        </w:rPr>
      </w:pPr>
    </w:p>
    <w:p w:rsidR="00292D3A" w:rsidRPr="00292D3A" w:rsidRDefault="00292D3A" w:rsidP="00292D3A">
      <w:pPr>
        <w:pStyle w:val="Sinespaciado"/>
        <w:ind w:left="720"/>
        <w:jc w:val="both"/>
        <w:rPr>
          <w:rFonts w:eastAsia="Times New Roman" w:cstheme="minorHAnsi"/>
          <w:sz w:val="20"/>
          <w:szCs w:val="20"/>
          <w:lang w:val="es-ES"/>
        </w:rPr>
      </w:pPr>
      <w:r w:rsidRPr="00292D3A">
        <w:rPr>
          <w:rFonts w:cstheme="minorHAnsi"/>
          <w:sz w:val="20"/>
          <w:szCs w:val="20"/>
          <w:lang w:val="es-ES"/>
        </w:rPr>
        <w:t xml:space="preserve">Por ejemplo, si el nivel de dosis en el punto de entrada para </w:t>
      </w:r>
      <w:r w:rsidRPr="00292D3A">
        <w:rPr>
          <w:rFonts w:cstheme="minorHAnsi"/>
          <w:sz w:val="20"/>
          <w:szCs w:val="20"/>
          <w:lang w:val="es-ES"/>
        </w:rPr>
        <w:t>el haz</w:t>
      </w:r>
      <w:r w:rsidRPr="00292D3A">
        <w:rPr>
          <w:rFonts w:cstheme="minorHAnsi"/>
          <w:sz w:val="20"/>
          <w:szCs w:val="20"/>
          <w:lang w:val="es-ES"/>
        </w:rPr>
        <w:t xml:space="preserve"> 1 es de 1 </w:t>
      </w:r>
      <w:proofErr w:type="spellStart"/>
      <w:r w:rsidRPr="00292D3A">
        <w:rPr>
          <w:rFonts w:cstheme="minorHAnsi"/>
          <w:sz w:val="20"/>
          <w:szCs w:val="20"/>
          <w:lang w:val="es-ES"/>
        </w:rPr>
        <w:t>kilorad</w:t>
      </w:r>
      <w:proofErr w:type="spellEnd"/>
      <w:r w:rsidRPr="00292D3A">
        <w:rPr>
          <w:rFonts w:cstheme="minorHAnsi"/>
          <w:sz w:val="20"/>
          <w:szCs w:val="20"/>
          <w:lang w:val="es-ES"/>
        </w:rPr>
        <w:t xml:space="preserve">, entonces la anatomía sana total absorberá un promedio de 0,4 </w:t>
      </w:r>
      <w:proofErr w:type="spellStart"/>
      <w:r w:rsidRPr="00292D3A">
        <w:rPr>
          <w:rFonts w:cstheme="minorHAnsi"/>
          <w:sz w:val="20"/>
          <w:szCs w:val="20"/>
          <w:lang w:val="es-ES"/>
        </w:rPr>
        <w:t>kilorad</w:t>
      </w:r>
      <w:proofErr w:type="spellEnd"/>
      <w:r w:rsidRPr="00292D3A">
        <w:rPr>
          <w:rFonts w:cstheme="minorHAnsi"/>
          <w:sz w:val="20"/>
          <w:szCs w:val="20"/>
          <w:lang w:val="es-ES"/>
        </w:rPr>
        <w:t xml:space="preserve"> en el plano bidimensional, </w:t>
      </w:r>
      <w:r w:rsidRPr="00292D3A">
        <w:rPr>
          <w:rFonts w:cstheme="minorHAnsi"/>
          <w:sz w:val="20"/>
          <w:szCs w:val="20"/>
          <w:lang w:val="es-ES"/>
        </w:rPr>
        <w:t>el tejido crítico</w:t>
      </w:r>
      <w:r w:rsidRPr="00292D3A">
        <w:rPr>
          <w:rFonts w:cstheme="minorHAnsi"/>
          <w:sz w:val="20"/>
          <w:szCs w:val="20"/>
          <w:lang w:val="es-ES"/>
        </w:rPr>
        <w:t xml:space="preserve"> cercano absorberá un promedio de 0,3 </w:t>
      </w:r>
      <w:proofErr w:type="spellStart"/>
      <w:r w:rsidRPr="00292D3A">
        <w:rPr>
          <w:rFonts w:cstheme="minorHAnsi"/>
          <w:sz w:val="20"/>
          <w:szCs w:val="20"/>
          <w:lang w:val="es-ES"/>
        </w:rPr>
        <w:t>kilorad</w:t>
      </w:r>
      <w:proofErr w:type="spellEnd"/>
      <w:r w:rsidRPr="00292D3A">
        <w:rPr>
          <w:rFonts w:cstheme="minorHAnsi"/>
          <w:sz w:val="20"/>
          <w:szCs w:val="20"/>
          <w:lang w:val="es-ES"/>
        </w:rPr>
        <w:t>,</w:t>
      </w:r>
      <w:r w:rsidRPr="00292D3A">
        <w:rPr>
          <w:rFonts w:cstheme="minorHAnsi"/>
          <w:sz w:val="20"/>
          <w:szCs w:val="20"/>
          <w:lang w:val="es-ES"/>
        </w:rPr>
        <w:t xml:space="preserve"> un promedio de 0,5 </w:t>
      </w:r>
      <w:proofErr w:type="spellStart"/>
      <w:r w:rsidRPr="00292D3A">
        <w:rPr>
          <w:rFonts w:cstheme="minorHAnsi"/>
          <w:sz w:val="20"/>
          <w:szCs w:val="20"/>
          <w:lang w:val="es-ES"/>
        </w:rPr>
        <w:t>kilorad</w:t>
      </w:r>
      <w:proofErr w:type="spellEnd"/>
      <w:r w:rsidRPr="00292D3A">
        <w:rPr>
          <w:rFonts w:cstheme="minorHAnsi"/>
          <w:sz w:val="20"/>
          <w:szCs w:val="20"/>
          <w:lang w:val="es-ES"/>
        </w:rPr>
        <w:t xml:space="preserve"> será absorbido por las distintas partes del tumor, y 0,6 </w:t>
      </w:r>
      <w:proofErr w:type="spellStart"/>
      <w:r w:rsidRPr="00292D3A">
        <w:rPr>
          <w:rFonts w:cstheme="minorHAnsi"/>
          <w:sz w:val="20"/>
          <w:szCs w:val="20"/>
          <w:lang w:val="es-ES"/>
        </w:rPr>
        <w:t>kilorad</w:t>
      </w:r>
      <w:proofErr w:type="spellEnd"/>
      <w:r w:rsidRPr="00292D3A">
        <w:rPr>
          <w:rFonts w:cstheme="minorHAnsi"/>
          <w:sz w:val="20"/>
          <w:szCs w:val="20"/>
          <w:lang w:val="es-ES"/>
        </w:rPr>
        <w:t xml:space="preserve"> será absorbido por el centro del tumor. </w:t>
      </w:r>
    </w:p>
    <w:p w:rsidR="00292D3A" w:rsidRPr="00292D3A" w:rsidRDefault="00292D3A" w:rsidP="00292D3A">
      <w:pPr>
        <w:pStyle w:val="Sinespaciado"/>
        <w:ind w:left="720"/>
        <w:jc w:val="both"/>
        <w:rPr>
          <w:rFonts w:eastAsia="Times New Roman" w:cstheme="minorHAnsi"/>
          <w:sz w:val="20"/>
          <w:szCs w:val="20"/>
          <w:lang w:val="es-ES"/>
        </w:rPr>
      </w:pPr>
    </w:p>
    <w:p w:rsidR="00292D3A" w:rsidRPr="00292D3A" w:rsidRDefault="00292D3A" w:rsidP="00292D3A">
      <w:pPr>
        <w:pStyle w:val="Sinespaciado"/>
        <w:ind w:left="720"/>
        <w:jc w:val="both"/>
        <w:rPr>
          <w:rFonts w:eastAsia="Times New Roman" w:cstheme="minorHAnsi"/>
          <w:sz w:val="20"/>
          <w:szCs w:val="20"/>
          <w:lang w:val="es-ES"/>
        </w:rPr>
      </w:pPr>
      <w:r w:rsidRPr="00292D3A">
        <w:rPr>
          <w:rFonts w:cstheme="minorHAnsi"/>
          <w:sz w:val="20"/>
          <w:szCs w:val="20"/>
          <w:lang w:val="es-ES"/>
        </w:rPr>
        <w:t xml:space="preserve">La última columna da las restricciones sobre la dosis total de ambas vigas que es absorbida en promedio por las áreas respectivas del cuerpo. En particular, la absorción de la dosis promedio para la anatomía sana debe ser lo más pequeña posible, los tejidos críticos no deben exceder los 2,7 </w:t>
      </w:r>
      <w:proofErr w:type="spellStart"/>
      <w:r w:rsidRPr="00292D3A">
        <w:rPr>
          <w:rFonts w:cstheme="minorHAnsi"/>
          <w:sz w:val="20"/>
          <w:szCs w:val="20"/>
          <w:lang w:val="es-ES"/>
        </w:rPr>
        <w:t>kiloradis</w:t>
      </w:r>
      <w:proofErr w:type="spellEnd"/>
      <w:r w:rsidRPr="00292D3A">
        <w:rPr>
          <w:rFonts w:cstheme="minorHAnsi"/>
          <w:sz w:val="20"/>
          <w:szCs w:val="20"/>
          <w:lang w:val="es-ES"/>
        </w:rPr>
        <w:t xml:space="preserve">, el promedio de todo el tumor debe ser igual a 6 </w:t>
      </w:r>
      <w:proofErr w:type="spellStart"/>
      <w:r w:rsidRPr="00292D3A">
        <w:rPr>
          <w:rFonts w:cstheme="minorHAnsi"/>
          <w:sz w:val="20"/>
          <w:szCs w:val="20"/>
          <w:lang w:val="es-ES"/>
        </w:rPr>
        <w:t>kilorads</w:t>
      </w:r>
      <w:proofErr w:type="spellEnd"/>
      <w:r w:rsidRPr="00292D3A">
        <w:rPr>
          <w:rFonts w:cstheme="minorHAnsi"/>
          <w:sz w:val="20"/>
          <w:szCs w:val="20"/>
          <w:lang w:val="es-ES"/>
        </w:rPr>
        <w:t xml:space="preserve">, y el centro del tumor debe ser de al menos 6 </w:t>
      </w:r>
      <w:proofErr w:type="spellStart"/>
      <w:r w:rsidRPr="00292D3A">
        <w:rPr>
          <w:rFonts w:cstheme="minorHAnsi"/>
          <w:sz w:val="20"/>
          <w:szCs w:val="20"/>
          <w:lang w:val="es-ES"/>
        </w:rPr>
        <w:t>kilorads</w:t>
      </w:r>
      <w:proofErr w:type="spellEnd"/>
      <w:r w:rsidRPr="00292D3A">
        <w:rPr>
          <w:rFonts w:cstheme="minorHAnsi"/>
          <w:sz w:val="20"/>
          <w:szCs w:val="20"/>
          <w:lang w:val="es-ES"/>
        </w:rPr>
        <w:t xml:space="preserve"> .</w:t>
      </w:r>
    </w:p>
    <w:p w:rsidR="00292D3A" w:rsidRPr="00292D3A" w:rsidRDefault="00292D3A" w:rsidP="00292D3A">
      <w:pPr>
        <w:pStyle w:val="Sinespaciado"/>
        <w:ind w:left="720"/>
        <w:jc w:val="both"/>
        <w:rPr>
          <w:rFonts w:eastAsia="Times New Roman" w:cstheme="minorHAnsi"/>
          <w:sz w:val="20"/>
          <w:szCs w:val="20"/>
          <w:lang w:val="es-ES"/>
        </w:rPr>
      </w:pPr>
    </w:p>
    <w:p w:rsidR="00292D3A" w:rsidRPr="00292D3A" w:rsidRDefault="00292D3A" w:rsidP="00292D3A">
      <w:pPr>
        <w:pStyle w:val="Sinespaciado"/>
        <w:ind w:left="720"/>
        <w:jc w:val="both"/>
        <w:rPr>
          <w:rFonts w:eastAsia="Times New Roman" w:cstheme="minorHAnsi"/>
          <w:sz w:val="20"/>
          <w:szCs w:val="20"/>
          <w:lang w:val="es-ES"/>
        </w:rPr>
      </w:pPr>
      <w:r w:rsidRPr="00292D3A">
        <w:rPr>
          <w:rFonts w:cstheme="minorHAnsi"/>
          <w:sz w:val="20"/>
          <w:szCs w:val="20"/>
          <w:lang w:val="es-ES"/>
        </w:rPr>
        <w:t>La idea es recomendar un tratamiento que minimice el efecto de la radiación en el tejido sano y analizar el efecto de los cambios en el tratamiento recomendado.</w:t>
      </w:r>
    </w:p>
    <w:p w:rsidR="00292D3A" w:rsidRPr="00292D3A" w:rsidRDefault="00292D3A" w:rsidP="00292D3A">
      <w:pPr>
        <w:autoSpaceDE w:val="0"/>
        <w:autoSpaceDN w:val="0"/>
        <w:adjustRightInd w:val="0"/>
        <w:spacing w:after="0" w:line="240" w:lineRule="auto"/>
        <w:ind w:left="709"/>
        <w:jc w:val="both"/>
        <w:rPr>
          <w:rFonts w:ascii="Times-Roman" w:hAnsi="Times-Roman" w:cs="Times-Roman"/>
          <w:sz w:val="20"/>
          <w:szCs w:val="20"/>
        </w:rPr>
      </w:pPr>
    </w:p>
    <w:p w:rsidR="00292D3A" w:rsidRPr="00292D3A" w:rsidRDefault="00292D3A" w:rsidP="00292D3A">
      <w:pPr>
        <w:autoSpaceDE w:val="0"/>
        <w:autoSpaceDN w:val="0"/>
        <w:adjustRightInd w:val="0"/>
        <w:spacing w:after="0" w:line="240" w:lineRule="auto"/>
        <w:ind w:left="709"/>
        <w:jc w:val="both"/>
        <w:rPr>
          <w:rFonts w:ascii="Times-Roman" w:hAnsi="Times-Roman" w:cs="Times-Roman"/>
          <w:sz w:val="20"/>
          <w:szCs w:val="20"/>
        </w:rPr>
      </w:pPr>
      <w:r w:rsidRPr="00292D3A">
        <w:rPr>
          <w:sz w:val="20"/>
          <w:szCs w:val="20"/>
          <w:lang w:val="en-US"/>
        </w:rPr>
        <w:drawing>
          <wp:anchor distT="0" distB="0" distL="114300" distR="114300" simplePos="0" relativeHeight="251649536" behindDoc="0" locked="0" layoutInCell="1" allowOverlap="1" wp14:anchorId="2EC4951A" wp14:editId="4698CAEE">
            <wp:simplePos x="0" y="0"/>
            <wp:positionH relativeFrom="column">
              <wp:posOffset>1019099</wp:posOffset>
            </wp:positionH>
            <wp:positionV relativeFrom="paragraph">
              <wp:posOffset>13284</wp:posOffset>
            </wp:positionV>
            <wp:extent cx="4375785" cy="152781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75785" cy="1527810"/>
                    </a:xfrm>
                    <a:prstGeom prst="rect">
                      <a:avLst/>
                    </a:prstGeom>
                  </pic:spPr>
                </pic:pic>
              </a:graphicData>
            </a:graphic>
            <wp14:sizeRelH relativeFrom="margin">
              <wp14:pctWidth>0</wp14:pctWidth>
            </wp14:sizeRelH>
            <wp14:sizeRelV relativeFrom="margin">
              <wp14:pctHeight>0</wp14:pctHeight>
            </wp14:sizeRelV>
          </wp:anchor>
        </w:drawing>
      </w:r>
    </w:p>
    <w:p w:rsidR="00292D3A" w:rsidRPr="00292D3A" w:rsidRDefault="00292D3A" w:rsidP="00292D3A">
      <w:pPr>
        <w:autoSpaceDE w:val="0"/>
        <w:autoSpaceDN w:val="0"/>
        <w:adjustRightInd w:val="0"/>
        <w:spacing w:after="0" w:line="240" w:lineRule="auto"/>
        <w:ind w:left="709"/>
        <w:jc w:val="both"/>
        <w:rPr>
          <w:rFonts w:ascii="Times-Roman" w:hAnsi="Times-Roman" w:cs="Times-Roman"/>
          <w:sz w:val="20"/>
          <w:szCs w:val="20"/>
        </w:rPr>
      </w:pPr>
    </w:p>
    <w:p w:rsidR="00292D3A" w:rsidRPr="00292D3A" w:rsidRDefault="00292D3A" w:rsidP="00292D3A">
      <w:pPr>
        <w:autoSpaceDE w:val="0"/>
        <w:autoSpaceDN w:val="0"/>
        <w:adjustRightInd w:val="0"/>
        <w:spacing w:after="0" w:line="240" w:lineRule="auto"/>
        <w:ind w:left="709"/>
        <w:jc w:val="both"/>
        <w:rPr>
          <w:rFonts w:ascii="Times-Roman" w:hAnsi="Times-Roman" w:cs="Times-Roman"/>
          <w:sz w:val="20"/>
          <w:szCs w:val="20"/>
        </w:rPr>
      </w:pPr>
    </w:p>
    <w:p w:rsidR="00292D3A" w:rsidRPr="00292D3A" w:rsidRDefault="00292D3A" w:rsidP="00292D3A">
      <w:pPr>
        <w:autoSpaceDE w:val="0"/>
        <w:autoSpaceDN w:val="0"/>
        <w:adjustRightInd w:val="0"/>
        <w:spacing w:after="0" w:line="240" w:lineRule="auto"/>
        <w:ind w:left="709"/>
        <w:jc w:val="both"/>
        <w:rPr>
          <w:rFonts w:ascii="Times-Roman" w:hAnsi="Times-Roman" w:cs="Times-Roman"/>
          <w:sz w:val="20"/>
          <w:szCs w:val="20"/>
        </w:rPr>
      </w:pPr>
    </w:p>
    <w:p w:rsidR="00292D3A" w:rsidRPr="00292D3A" w:rsidRDefault="00292D3A" w:rsidP="00292D3A">
      <w:pPr>
        <w:autoSpaceDE w:val="0"/>
        <w:autoSpaceDN w:val="0"/>
        <w:adjustRightInd w:val="0"/>
        <w:spacing w:after="0" w:line="240" w:lineRule="auto"/>
        <w:ind w:left="709"/>
        <w:jc w:val="both"/>
        <w:rPr>
          <w:rFonts w:ascii="Times-Roman" w:hAnsi="Times-Roman" w:cs="Times-Roman"/>
          <w:sz w:val="20"/>
          <w:szCs w:val="20"/>
        </w:rPr>
      </w:pPr>
    </w:p>
    <w:p w:rsidR="00292D3A" w:rsidRPr="00292D3A" w:rsidRDefault="00292D3A" w:rsidP="00292D3A">
      <w:pPr>
        <w:autoSpaceDE w:val="0"/>
        <w:autoSpaceDN w:val="0"/>
        <w:adjustRightInd w:val="0"/>
        <w:spacing w:after="0" w:line="240" w:lineRule="auto"/>
        <w:ind w:left="709"/>
        <w:jc w:val="both"/>
        <w:rPr>
          <w:rFonts w:ascii="Times-Roman" w:hAnsi="Times-Roman" w:cs="Times-Roman"/>
          <w:sz w:val="20"/>
          <w:szCs w:val="20"/>
        </w:rPr>
      </w:pPr>
    </w:p>
    <w:p w:rsidR="00292D3A" w:rsidRPr="00292D3A" w:rsidRDefault="00292D3A" w:rsidP="00292D3A">
      <w:pPr>
        <w:autoSpaceDE w:val="0"/>
        <w:autoSpaceDN w:val="0"/>
        <w:adjustRightInd w:val="0"/>
        <w:spacing w:after="0" w:line="240" w:lineRule="auto"/>
        <w:ind w:left="709"/>
        <w:jc w:val="both"/>
        <w:rPr>
          <w:rFonts w:ascii="Times-Roman" w:hAnsi="Times-Roman" w:cs="Times-Roman"/>
          <w:sz w:val="20"/>
          <w:szCs w:val="20"/>
        </w:rPr>
      </w:pPr>
    </w:p>
    <w:p w:rsidR="00292D3A" w:rsidRPr="00292D3A" w:rsidRDefault="00292D3A" w:rsidP="00292D3A">
      <w:pPr>
        <w:autoSpaceDE w:val="0"/>
        <w:autoSpaceDN w:val="0"/>
        <w:adjustRightInd w:val="0"/>
        <w:spacing w:after="0" w:line="240" w:lineRule="auto"/>
        <w:ind w:left="709"/>
        <w:jc w:val="both"/>
        <w:rPr>
          <w:sz w:val="20"/>
          <w:szCs w:val="20"/>
        </w:rPr>
      </w:pPr>
    </w:p>
    <w:p w:rsidR="00292D3A" w:rsidRPr="00292D3A" w:rsidRDefault="00292D3A" w:rsidP="00292D3A">
      <w:pPr>
        <w:autoSpaceDE w:val="0"/>
        <w:autoSpaceDN w:val="0"/>
        <w:adjustRightInd w:val="0"/>
        <w:spacing w:after="0" w:line="240" w:lineRule="auto"/>
        <w:ind w:left="709"/>
        <w:jc w:val="both"/>
        <w:rPr>
          <w:sz w:val="20"/>
          <w:szCs w:val="20"/>
        </w:rPr>
      </w:pPr>
    </w:p>
    <w:p w:rsidR="007524B6" w:rsidRPr="007524B6" w:rsidRDefault="007524B6" w:rsidP="007524B6">
      <w:pPr>
        <w:spacing w:after="0" w:line="240" w:lineRule="auto"/>
        <w:rPr>
          <w:rFonts w:eastAsia="Times New Roman" w:cstheme="minorHAnsi"/>
          <w:sz w:val="20"/>
          <w:szCs w:val="20"/>
          <w:lang w:eastAsia="es-ES"/>
        </w:rPr>
      </w:pPr>
    </w:p>
    <w:p w:rsidR="00292D3A" w:rsidRPr="00292D3A" w:rsidRDefault="00292D3A" w:rsidP="00292D3A">
      <w:pPr>
        <w:pStyle w:val="Sangra2detindependiente"/>
        <w:rPr>
          <w:rFonts w:asciiTheme="minorHAnsi" w:hAnsiTheme="minorHAnsi" w:cstheme="minorHAnsi"/>
          <w:sz w:val="20"/>
          <w:szCs w:val="20"/>
        </w:rPr>
      </w:pPr>
    </w:p>
    <w:p w:rsidR="00292D3A" w:rsidRDefault="00292D3A">
      <w:pPr>
        <w:rPr>
          <w:rFonts w:eastAsia="Times New Roman" w:cstheme="minorHAnsi"/>
          <w:sz w:val="20"/>
          <w:szCs w:val="20"/>
          <w:lang w:eastAsia="es-ES"/>
        </w:rPr>
      </w:pPr>
      <w:r>
        <w:rPr>
          <w:rFonts w:cstheme="minorHAnsi"/>
          <w:sz w:val="20"/>
          <w:szCs w:val="20"/>
        </w:rPr>
        <w:br w:type="page"/>
      </w:r>
    </w:p>
    <w:p w:rsidR="00292D3A" w:rsidRDefault="00292D3A" w:rsidP="00292D3A">
      <w:pPr>
        <w:pStyle w:val="Sangra2detindependiente"/>
        <w:rPr>
          <w:rFonts w:asciiTheme="minorHAnsi" w:hAnsiTheme="minorHAnsi" w:cstheme="minorHAnsi"/>
          <w:sz w:val="20"/>
          <w:szCs w:val="20"/>
        </w:rPr>
      </w:pPr>
    </w:p>
    <w:p w:rsidR="00292D3A" w:rsidRPr="00292D3A" w:rsidRDefault="00292D3A" w:rsidP="00292D3A">
      <w:pPr>
        <w:pStyle w:val="Sangra2detindependiente"/>
        <w:rPr>
          <w:rFonts w:asciiTheme="minorHAnsi" w:hAnsiTheme="minorHAnsi" w:cstheme="minorHAnsi"/>
          <w:sz w:val="20"/>
          <w:szCs w:val="20"/>
        </w:rPr>
      </w:pPr>
    </w:p>
    <w:p w:rsidR="0095725C" w:rsidRPr="0095725C" w:rsidRDefault="0095725C" w:rsidP="0095725C">
      <w:pPr>
        <w:pStyle w:val="Sinespaciado"/>
        <w:numPr>
          <w:ilvl w:val="0"/>
          <w:numId w:val="9"/>
        </w:numPr>
        <w:rPr>
          <w:sz w:val="20"/>
          <w:szCs w:val="20"/>
        </w:rPr>
      </w:pPr>
      <w:r w:rsidRPr="0095725C">
        <w:rPr>
          <w:sz w:val="20"/>
          <w:szCs w:val="20"/>
        </w:rPr>
        <w:t>Banco Gane está desarrollando una política de préstamos por un máximo de $12 millones. La</w:t>
      </w:r>
      <w:r w:rsidRPr="0095725C">
        <w:rPr>
          <w:sz w:val="20"/>
          <w:szCs w:val="20"/>
        </w:rPr>
        <w:t xml:space="preserve"> </w:t>
      </w:r>
      <w:r w:rsidRPr="0095725C">
        <w:rPr>
          <w:sz w:val="20"/>
          <w:szCs w:val="20"/>
        </w:rPr>
        <w:t xml:space="preserve">tabla </w:t>
      </w:r>
      <w:r w:rsidRPr="0095725C">
        <w:rPr>
          <w:sz w:val="20"/>
          <w:szCs w:val="20"/>
        </w:rPr>
        <w:t>s</w:t>
      </w:r>
      <w:r w:rsidRPr="0095725C">
        <w:rPr>
          <w:sz w:val="20"/>
          <w:szCs w:val="20"/>
        </w:rPr>
        <w:t>iguiente muestra los datos pertinentes acerca de los distintos tipos de préstamo.</w:t>
      </w:r>
      <w:r w:rsidRPr="0095725C">
        <w:rPr>
          <w:sz w:val="20"/>
          <w:szCs w:val="20"/>
        </w:rPr>
        <w:t xml:space="preserve"> </w:t>
      </w:r>
    </w:p>
    <w:p w:rsidR="0095725C" w:rsidRDefault="0095725C" w:rsidP="0095725C">
      <w:pPr>
        <w:autoSpaceDE w:val="0"/>
        <w:autoSpaceDN w:val="0"/>
        <w:adjustRightInd w:val="0"/>
        <w:spacing w:after="0" w:line="240" w:lineRule="auto"/>
        <w:jc w:val="both"/>
        <w:rPr>
          <w:rFonts w:ascii="Times New Roman" w:hAnsi="Times New Roman" w:cs="Times New Roman"/>
          <w:sz w:val="21"/>
          <w:szCs w:val="21"/>
        </w:rPr>
      </w:pPr>
      <w:r w:rsidRPr="0095725C">
        <w:drawing>
          <wp:anchor distT="0" distB="0" distL="114300" distR="114300" simplePos="0" relativeHeight="251651584" behindDoc="0" locked="0" layoutInCell="1" allowOverlap="1" wp14:anchorId="4CB842C1">
            <wp:simplePos x="0" y="0"/>
            <wp:positionH relativeFrom="column">
              <wp:posOffset>1611630</wp:posOffset>
            </wp:positionH>
            <wp:positionV relativeFrom="paragraph">
              <wp:posOffset>30480</wp:posOffset>
            </wp:positionV>
            <wp:extent cx="2679065" cy="112268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79065" cy="1122680"/>
                    </a:xfrm>
                    <a:prstGeom prst="rect">
                      <a:avLst/>
                    </a:prstGeom>
                  </pic:spPr>
                </pic:pic>
              </a:graphicData>
            </a:graphic>
            <wp14:sizeRelH relativeFrom="margin">
              <wp14:pctWidth>0</wp14:pctWidth>
            </wp14:sizeRelH>
            <wp14:sizeRelV relativeFrom="margin">
              <wp14:pctHeight>0</wp14:pctHeight>
            </wp14:sizeRelV>
          </wp:anchor>
        </w:drawing>
      </w:r>
    </w:p>
    <w:p w:rsidR="0095725C" w:rsidRDefault="0095725C" w:rsidP="0095725C">
      <w:pPr>
        <w:pStyle w:val="Sinespaciado"/>
      </w:pPr>
    </w:p>
    <w:p w:rsidR="0095725C" w:rsidRDefault="0095725C" w:rsidP="0095725C">
      <w:pPr>
        <w:autoSpaceDE w:val="0"/>
        <w:autoSpaceDN w:val="0"/>
        <w:adjustRightInd w:val="0"/>
        <w:spacing w:after="0" w:line="240" w:lineRule="auto"/>
        <w:jc w:val="both"/>
        <w:rPr>
          <w:rFonts w:ascii="Times New Roman" w:hAnsi="Times New Roman" w:cs="Times New Roman"/>
          <w:sz w:val="21"/>
          <w:szCs w:val="21"/>
        </w:rPr>
      </w:pPr>
    </w:p>
    <w:p w:rsidR="0095725C" w:rsidRDefault="0095725C" w:rsidP="0095725C">
      <w:pPr>
        <w:autoSpaceDE w:val="0"/>
        <w:autoSpaceDN w:val="0"/>
        <w:adjustRightInd w:val="0"/>
        <w:spacing w:after="0" w:line="240" w:lineRule="auto"/>
        <w:jc w:val="both"/>
        <w:rPr>
          <w:rFonts w:ascii="Times New Roman" w:hAnsi="Times New Roman" w:cs="Times New Roman"/>
          <w:sz w:val="21"/>
          <w:szCs w:val="21"/>
        </w:rPr>
      </w:pPr>
    </w:p>
    <w:p w:rsidR="0095725C" w:rsidRDefault="0095725C" w:rsidP="0095725C">
      <w:pPr>
        <w:autoSpaceDE w:val="0"/>
        <w:autoSpaceDN w:val="0"/>
        <w:adjustRightInd w:val="0"/>
        <w:spacing w:after="0" w:line="240" w:lineRule="auto"/>
        <w:jc w:val="both"/>
        <w:rPr>
          <w:rFonts w:ascii="Times New Roman" w:hAnsi="Times New Roman" w:cs="Times New Roman"/>
          <w:sz w:val="21"/>
          <w:szCs w:val="21"/>
        </w:rPr>
      </w:pPr>
    </w:p>
    <w:p w:rsidR="0095725C" w:rsidRDefault="0095725C" w:rsidP="0095725C">
      <w:pPr>
        <w:autoSpaceDE w:val="0"/>
        <w:autoSpaceDN w:val="0"/>
        <w:adjustRightInd w:val="0"/>
        <w:spacing w:after="0" w:line="240" w:lineRule="auto"/>
        <w:jc w:val="both"/>
        <w:rPr>
          <w:rFonts w:ascii="Times New Roman" w:hAnsi="Times New Roman" w:cs="Times New Roman"/>
          <w:sz w:val="21"/>
          <w:szCs w:val="21"/>
        </w:rPr>
      </w:pPr>
    </w:p>
    <w:p w:rsidR="0095725C" w:rsidRDefault="0095725C" w:rsidP="0095725C">
      <w:pPr>
        <w:autoSpaceDE w:val="0"/>
        <w:autoSpaceDN w:val="0"/>
        <w:adjustRightInd w:val="0"/>
        <w:spacing w:after="0" w:line="240" w:lineRule="auto"/>
        <w:jc w:val="both"/>
        <w:rPr>
          <w:rFonts w:ascii="Times New Roman" w:hAnsi="Times New Roman" w:cs="Times New Roman"/>
          <w:sz w:val="21"/>
          <w:szCs w:val="21"/>
        </w:rPr>
      </w:pPr>
    </w:p>
    <w:p w:rsidR="0095725C" w:rsidRDefault="0095725C" w:rsidP="0095725C">
      <w:pPr>
        <w:autoSpaceDE w:val="0"/>
        <w:autoSpaceDN w:val="0"/>
        <w:adjustRightInd w:val="0"/>
        <w:spacing w:after="0" w:line="240" w:lineRule="auto"/>
        <w:jc w:val="both"/>
        <w:rPr>
          <w:rFonts w:ascii="Times New Roman" w:hAnsi="Times New Roman" w:cs="Times New Roman"/>
          <w:sz w:val="21"/>
          <w:szCs w:val="21"/>
        </w:rPr>
      </w:pPr>
    </w:p>
    <w:p w:rsidR="0095725C" w:rsidRPr="0095725C" w:rsidRDefault="0095725C" w:rsidP="0095725C">
      <w:pPr>
        <w:autoSpaceDE w:val="0"/>
        <w:autoSpaceDN w:val="0"/>
        <w:adjustRightInd w:val="0"/>
        <w:spacing w:after="0" w:line="240" w:lineRule="auto"/>
        <w:ind w:left="709"/>
        <w:jc w:val="both"/>
        <w:rPr>
          <w:rFonts w:cstheme="minorHAnsi"/>
          <w:sz w:val="20"/>
          <w:szCs w:val="20"/>
        </w:rPr>
      </w:pPr>
      <w:r w:rsidRPr="0095725C">
        <w:rPr>
          <w:rFonts w:cstheme="minorHAnsi"/>
          <w:sz w:val="20"/>
          <w:szCs w:val="20"/>
        </w:rPr>
        <w:t>Para competir con otras instituciones financieras se necesita que el banco asigne un mínimo</w:t>
      </w:r>
      <w:r w:rsidRPr="0095725C">
        <w:rPr>
          <w:rFonts w:cstheme="minorHAnsi"/>
          <w:sz w:val="20"/>
          <w:szCs w:val="20"/>
        </w:rPr>
        <w:t xml:space="preserve"> </w:t>
      </w:r>
      <w:r w:rsidRPr="0095725C">
        <w:rPr>
          <w:rFonts w:cstheme="minorHAnsi"/>
          <w:sz w:val="20"/>
          <w:szCs w:val="20"/>
        </w:rPr>
        <w:t>de 40% de los fondos a préstamos agrícolas y comerciales. Para ayudar a la industria de la</w:t>
      </w:r>
      <w:r w:rsidRPr="0095725C">
        <w:rPr>
          <w:rFonts w:cstheme="minorHAnsi"/>
          <w:sz w:val="20"/>
          <w:szCs w:val="20"/>
        </w:rPr>
        <w:t xml:space="preserve"> </w:t>
      </w:r>
      <w:r w:rsidRPr="0095725C">
        <w:rPr>
          <w:rFonts w:cstheme="minorHAnsi"/>
          <w:sz w:val="20"/>
          <w:szCs w:val="20"/>
        </w:rPr>
        <w:t>construcción de su región, los préstamos familiares deben ser iguales, cuando menos, al 50%</w:t>
      </w:r>
      <w:r w:rsidRPr="0095725C">
        <w:rPr>
          <w:rFonts w:cstheme="minorHAnsi"/>
          <w:sz w:val="20"/>
          <w:szCs w:val="20"/>
        </w:rPr>
        <w:t xml:space="preserve"> </w:t>
      </w:r>
      <w:r w:rsidRPr="0095725C">
        <w:rPr>
          <w:rFonts w:cstheme="minorHAnsi"/>
          <w:sz w:val="20"/>
          <w:szCs w:val="20"/>
        </w:rPr>
        <w:t xml:space="preserve">de los préstamos personales, para automóvil y para casa. </w:t>
      </w:r>
    </w:p>
    <w:p w:rsidR="0095725C" w:rsidRPr="0095725C" w:rsidRDefault="0095725C" w:rsidP="0095725C">
      <w:pPr>
        <w:autoSpaceDE w:val="0"/>
        <w:autoSpaceDN w:val="0"/>
        <w:adjustRightInd w:val="0"/>
        <w:spacing w:after="0" w:line="240" w:lineRule="auto"/>
        <w:ind w:left="709"/>
        <w:jc w:val="both"/>
        <w:rPr>
          <w:rFonts w:cstheme="minorHAnsi"/>
          <w:sz w:val="20"/>
          <w:szCs w:val="20"/>
        </w:rPr>
      </w:pPr>
    </w:p>
    <w:p w:rsidR="0095725C" w:rsidRPr="0095725C" w:rsidRDefault="0095725C" w:rsidP="0095725C">
      <w:pPr>
        <w:autoSpaceDE w:val="0"/>
        <w:autoSpaceDN w:val="0"/>
        <w:adjustRightInd w:val="0"/>
        <w:spacing w:after="0" w:line="240" w:lineRule="auto"/>
        <w:ind w:left="709"/>
        <w:jc w:val="both"/>
        <w:rPr>
          <w:rFonts w:cstheme="minorHAnsi"/>
          <w:sz w:val="20"/>
          <w:szCs w:val="20"/>
        </w:rPr>
      </w:pPr>
      <w:r w:rsidRPr="0095725C">
        <w:rPr>
          <w:rFonts w:cstheme="minorHAnsi"/>
          <w:sz w:val="20"/>
          <w:szCs w:val="20"/>
        </w:rPr>
        <w:t>Finalmente,</w:t>
      </w:r>
      <w:r w:rsidRPr="0095725C">
        <w:rPr>
          <w:rFonts w:cstheme="minorHAnsi"/>
          <w:sz w:val="20"/>
          <w:szCs w:val="20"/>
        </w:rPr>
        <w:t xml:space="preserve"> el banco tiene una política</w:t>
      </w:r>
      <w:r w:rsidRPr="0095725C">
        <w:rPr>
          <w:rFonts w:cstheme="minorHAnsi"/>
          <w:sz w:val="20"/>
          <w:szCs w:val="20"/>
        </w:rPr>
        <w:t xml:space="preserve"> </w:t>
      </w:r>
      <w:r w:rsidRPr="0095725C">
        <w:rPr>
          <w:rFonts w:cstheme="minorHAnsi"/>
          <w:sz w:val="20"/>
          <w:szCs w:val="20"/>
        </w:rPr>
        <w:t>explícita que no permite que la relación general de préstamos impagables entre todos los préstamos</w:t>
      </w:r>
      <w:r w:rsidRPr="0095725C">
        <w:rPr>
          <w:rFonts w:cstheme="minorHAnsi"/>
          <w:sz w:val="20"/>
          <w:szCs w:val="20"/>
        </w:rPr>
        <w:t xml:space="preserve"> </w:t>
      </w:r>
      <w:r w:rsidRPr="0095725C">
        <w:rPr>
          <w:rFonts w:cstheme="minorHAnsi"/>
          <w:sz w:val="20"/>
          <w:szCs w:val="20"/>
        </w:rPr>
        <w:t>sea mayor que 4 por ciento.</w:t>
      </w:r>
      <w:r w:rsidRPr="0095725C">
        <w:rPr>
          <w:rFonts w:cstheme="minorHAnsi"/>
          <w:sz w:val="20"/>
          <w:szCs w:val="20"/>
        </w:rPr>
        <w:t xml:space="preserve"> </w:t>
      </w:r>
      <w:r w:rsidRPr="0095725C">
        <w:rPr>
          <w:rFonts w:cstheme="minorHAnsi"/>
          <w:sz w:val="20"/>
          <w:szCs w:val="20"/>
        </w:rPr>
        <w:t>Las deudas impagables no se recuperan y no producen ingresos por intereses.</w:t>
      </w:r>
    </w:p>
    <w:p w:rsidR="0095725C" w:rsidRPr="0095725C" w:rsidRDefault="0095725C" w:rsidP="0095725C">
      <w:pPr>
        <w:autoSpaceDE w:val="0"/>
        <w:autoSpaceDN w:val="0"/>
        <w:adjustRightInd w:val="0"/>
        <w:spacing w:after="0" w:line="240" w:lineRule="auto"/>
        <w:ind w:left="709"/>
        <w:jc w:val="both"/>
        <w:rPr>
          <w:rFonts w:cstheme="minorHAnsi"/>
          <w:sz w:val="20"/>
          <w:szCs w:val="20"/>
        </w:rPr>
      </w:pPr>
    </w:p>
    <w:p w:rsidR="008F22B9" w:rsidRPr="007524B6" w:rsidRDefault="008F22B9" w:rsidP="0095725C">
      <w:pPr>
        <w:pStyle w:val="Sangra2detindependiente"/>
        <w:numPr>
          <w:ilvl w:val="0"/>
          <w:numId w:val="9"/>
        </w:numPr>
        <w:rPr>
          <w:rFonts w:asciiTheme="minorHAnsi" w:hAnsiTheme="minorHAnsi" w:cstheme="minorHAnsi"/>
          <w:sz w:val="20"/>
          <w:szCs w:val="20"/>
        </w:rPr>
      </w:pPr>
      <w:r w:rsidRPr="007524B6">
        <w:rPr>
          <w:rFonts w:asciiTheme="minorHAnsi" w:hAnsiTheme="minorHAnsi" w:cstheme="minorHAnsi"/>
          <w:sz w:val="20"/>
          <w:szCs w:val="20"/>
        </w:rPr>
        <w:t>La Confederación de Cooperativas Agrícolas está formada por tres cooperativas en el oeste del país y están planificando la producción agrícola para los próximos años.</w:t>
      </w:r>
      <w:r w:rsidR="007524B6">
        <w:rPr>
          <w:rFonts w:asciiTheme="minorHAnsi" w:hAnsiTheme="minorHAnsi" w:cstheme="minorHAnsi"/>
          <w:sz w:val="20"/>
          <w:szCs w:val="20"/>
        </w:rPr>
        <w:t xml:space="preserve"> </w:t>
      </w:r>
      <w:r w:rsidRPr="007524B6">
        <w:rPr>
          <w:rFonts w:asciiTheme="minorHAnsi" w:hAnsiTheme="minorHAnsi" w:cstheme="minorHAnsi"/>
          <w:sz w:val="20"/>
          <w:szCs w:val="20"/>
        </w:rPr>
        <w:t>La producción está limitada tanto por la extensión del terreno disponible para regadío, como por la cantidad de agua asignada para su riego. El agua es un recurso que debe dividirse no solo entre las cooperativas, sino entre los diferentes agricultores independientes de la región, por lo que hay que planificar y calcular con mucho cuidado su asignación, en especial en la temporada seca.</w:t>
      </w:r>
    </w:p>
    <w:p w:rsidR="007524B6" w:rsidRDefault="007524B6" w:rsidP="008F22B9">
      <w:pPr>
        <w:pStyle w:val="Sangra2detindependiente"/>
        <w:ind w:left="1080" w:firstLine="0"/>
        <w:rPr>
          <w:rFonts w:asciiTheme="minorHAnsi" w:hAnsiTheme="minorHAnsi" w:cstheme="minorHAnsi"/>
          <w:sz w:val="20"/>
          <w:szCs w:val="20"/>
        </w:rPr>
      </w:pPr>
    </w:p>
    <w:p w:rsidR="005C34A0" w:rsidRPr="003F5ECB" w:rsidRDefault="008F22B9" w:rsidP="00292D3A">
      <w:pPr>
        <w:pStyle w:val="Sangra2detindependiente"/>
        <w:ind w:left="709" w:firstLine="0"/>
        <w:rPr>
          <w:sz w:val="20"/>
          <w:szCs w:val="20"/>
        </w:rPr>
      </w:pPr>
      <w:r w:rsidRPr="003F5ECB">
        <w:rPr>
          <w:rFonts w:asciiTheme="minorHAnsi" w:hAnsiTheme="minorHAnsi" w:cstheme="minorHAnsi"/>
          <w:sz w:val="20"/>
          <w:szCs w:val="20"/>
        </w:rPr>
        <w:t>El tipo de cosecha apropiada para la región incluye arroz, algodón y sorgo cuyos rendimientos en campo dependerán no solo en su rendimiento por hectárea, sino también en su consumo de agua.</w:t>
      </w:r>
      <w:r w:rsidR="007524B6">
        <w:rPr>
          <w:rFonts w:asciiTheme="minorHAnsi" w:hAnsiTheme="minorHAnsi" w:cstheme="minorHAnsi"/>
          <w:sz w:val="20"/>
          <w:szCs w:val="20"/>
        </w:rPr>
        <w:t xml:space="preserve"> </w:t>
      </w:r>
      <w:r w:rsidRPr="003F5ECB">
        <w:rPr>
          <w:rFonts w:asciiTheme="minorHAnsi" w:hAnsiTheme="minorHAnsi" w:cstheme="minorHAnsi"/>
          <w:sz w:val="20"/>
          <w:szCs w:val="20"/>
        </w:rPr>
        <w:t xml:space="preserve">Debido a la cantidad limitada de agua, la confederación no podrá utilizar todo el terreno disponible, por lo que para asegurar la equidad en la siembra y cosecha, se ha acordado que cada cooperativa sembrará la misma proporción de sus tierras irrigables disponibles. El objetivo es encontrar la cantidad óptima de tierra a sembrar de los diferentes productos en cada cooperativa para maximizar el rendimiento de cada cosecha. Los cuadros que se muestran a continuación tienen información relevante al problema. </w:t>
      </w:r>
    </w:p>
    <w:p w:rsidR="00014574" w:rsidRPr="003F5ECB" w:rsidRDefault="00014574" w:rsidP="00014574">
      <w:pPr>
        <w:pStyle w:val="Sinespaciado"/>
        <w:rPr>
          <w:sz w:val="20"/>
          <w:szCs w:val="20"/>
        </w:rPr>
      </w:pPr>
    </w:p>
    <w:tbl>
      <w:tblPr>
        <w:tblStyle w:val="Tablaconcuadrcula"/>
        <w:tblW w:w="0" w:type="auto"/>
        <w:jc w:val="center"/>
        <w:tblLook w:val="04A0" w:firstRow="1" w:lastRow="0" w:firstColumn="1" w:lastColumn="0" w:noHBand="0" w:noVBand="1"/>
      </w:tblPr>
      <w:tblGrid>
        <w:gridCol w:w="1546"/>
        <w:gridCol w:w="1128"/>
        <w:gridCol w:w="1721"/>
      </w:tblGrid>
      <w:tr w:rsidR="003F5ECB" w:rsidRPr="003F5ECB" w:rsidTr="007524B6">
        <w:trPr>
          <w:jc w:val="center"/>
        </w:trPr>
        <w:tc>
          <w:tcPr>
            <w:tcW w:w="4395" w:type="dxa"/>
            <w:gridSpan w:val="3"/>
            <w:shd w:val="clear" w:color="auto" w:fill="D9D9D9" w:themeFill="background1" w:themeFillShade="D9"/>
          </w:tcPr>
          <w:p w:rsidR="003F5ECB" w:rsidRPr="003F5ECB" w:rsidRDefault="003F5ECB" w:rsidP="003F5ECB">
            <w:pPr>
              <w:pStyle w:val="Sinespaciado"/>
              <w:jc w:val="center"/>
              <w:rPr>
                <w:b/>
                <w:sz w:val="20"/>
                <w:szCs w:val="20"/>
              </w:rPr>
            </w:pPr>
            <w:r w:rsidRPr="003F5ECB">
              <w:rPr>
                <w:b/>
                <w:sz w:val="20"/>
                <w:szCs w:val="20"/>
              </w:rPr>
              <w:t>Disponibilidad de tierra por Cooperativa</w:t>
            </w:r>
          </w:p>
        </w:tc>
      </w:tr>
      <w:tr w:rsidR="003F5ECB" w:rsidRPr="003F5ECB" w:rsidTr="007524B6">
        <w:trPr>
          <w:jc w:val="center"/>
        </w:trPr>
        <w:tc>
          <w:tcPr>
            <w:tcW w:w="1546" w:type="dxa"/>
            <w:shd w:val="clear" w:color="auto" w:fill="D9D9D9" w:themeFill="background1" w:themeFillShade="D9"/>
            <w:vAlign w:val="center"/>
          </w:tcPr>
          <w:p w:rsidR="003F5ECB" w:rsidRPr="003F5ECB" w:rsidRDefault="003F5ECB" w:rsidP="007524B6">
            <w:pPr>
              <w:pStyle w:val="Sinespaciado"/>
              <w:jc w:val="center"/>
              <w:rPr>
                <w:b/>
                <w:sz w:val="20"/>
                <w:szCs w:val="20"/>
              </w:rPr>
            </w:pPr>
            <w:r w:rsidRPr="003F5ECB">
              <w:rPr>
                <w:b/>
                <w:sz w:val="20"/>
                <w:szCs w:val="20"/>
              </w:rPr>
              <w:t>Cooperativa</w:t>
            </w:r>
          </w:p>
        </w:tc>
        <w:tc>
          <w:tcPr>
            <w:tcW w:w="1128" w:type="dxa"/>
            <w:shd w:val="clear" w:color="auto" w:fill="D9D9D9" w:themeFill="background1" w:themeFillShade="D9"/>
            <w:vAlign w:val="center"/>
          </w:tcPr>
          <w:p w:rsidR="003F5ECB" w:rsidRPr="003F5ECB" w:rsidRDefault="003F5ECB" w:rsidP="007524B6">
            <w:pPr>
              <w:pStyle w:val="Sinespaciado"/>
              <w:jc w:val="center"/>
              <w:rPr>
                <w:b/>
                <w:sz w:val="20"/>
                <w:szCs w:val="20"/>
              </w:rPr>
            </w:pPr>
            <w:r w:rsidRPr="003F5ECB">
              <w:rPr>
                <w:b/>
                <w:sz w:val="20"/>
                <w:szCs w:val="20"/>
              </w:rPr>
              <w:t>Hectáreas</w:t>
            </w:r>
          </w:p>
        </w:tc>
        <w:tc>
          <w:tcPr>
            <w:tcW w:w="1721" w:type="dxa"/>
            <w:shd w:val="clear" w:color="auto" w:fill="D9D9D9" w:themeFill="background1" w:themeFillShade="D9"/>
            <w:vAlign w:val="center"/>
          </w:tcPr>
          <w:p w:rsidR="003F5ECB" w:rsidRPr="003F5ECB" w:rsidRDefault="003F5ECB" w:rsidP="007524B6">
            <w:pPr>
              <w:pStyle w:val="Sinespaciado"/>
              <w:jc w:val="center"/>
              <w:rPr>
                <w:b/>
                <w:sz w:val="20"/>
                <w:szCs w:val="20"/>
              </w:rPr>
            </w:pPr>
            <w:r w:rsidRPr="003F5ECB">
              <w:rPr>
                <w:b/>
                <w:sz w:val="20"/>
                <w:szCs w:val="20"/>
              </w:rPr>
              <w:t>Asignación de agua (pie</w:t>
            </w:r>
            <w:r w:rsidRPr="003F5ECB">
              <w:rPr>
                <w:b/>
                <w:sz w:val="20"/>
                <w:szCs w:val="20"/>
                <w:vertAlign w:val="superscript"/>
              </w:rPr>
              <w:t>3</w:t>
            </w:r>
            <w:r w:rsidRPr="003F5ECB">
              <w:rPr>
                <w:b/>
                <w:sz w:val="20"/>
                <w:szCs w:val="20"/>
              </w:rPr>
              <w:t>/ha)</w:t>
            </w:r>
          </w:p>
        </w:tc>
      </w:tr>
      <w:tr w:rsidR="003F5ECB" w:rsidRPr="003F5ECB" w:rsidTr="007524B6">
        <w:trPr>
          <w:jc w:val="center"/>
        </w:trPr>
        <w:tc>
          <w:tcPr>
            <w:tcW w:w="1546" w:type="dxa"/>
          </w:tcPr>
          <w:p w:rsidR="003F5ECB" w:rsidRPr="003F5ECB" w:rsidRDefault="003F5ECB" w:rsidP="003F5ECB">
            <w:pPr>
              <w:pStyle w:val="Sinespaciado"/>
              <w:jc w:val="center"/>
              <w:rPr>
                <w:sz w:val="20"/>
                <w:szCs w:val="20"/>
              </w:rPr>
            </w:pPr>
            <w:r w:rsidRPr="003F5ECB">
              <w:rPr>
                <w:sz w:val="20"/>
                <w:szCs w:val="20"/>
              </w:rPr>
              <w:t>Santa María</w:t>
            </w:r>
          </w:p>
        </w:tc>
        <w:tc>
          <w:tcPr>
            <w:tcW w:w="1128" w:type="dxa"/>
          </w:tcPr>
          <w:p w:rsidR="003F5ECB" w:rsidRPr="003F5ECB" w:rsidRDefault="003F5ECB" w:rsidP="003F5ECB">
            <w:pPr>
              <w:pStyle w:val="Sinespaciado"/>
              <w:jc w:val="center"/>
              <w:rPr>
                <w:sz w:val="20"/>
                <w:szCs w:val="20"/>
              </w:rPr>
            </w:pPr>
            <w:r w:rsidRPr="003F5ECB">
              <w:rPr>
                <w:sz w:val="20"/>
                <w:szCs w:val="20"/>
              </w:rPr>
              <w:t>400</w:t>
            </w:r>
          </w:p>
        </w:tc>
        <w:tc>
          <w:tcPr>
            <w:tcW w:w="1721" w:type="dxa"/>
          </w:tcPr>
          <w:p w:rsidR="003F5ECB" w:rsidRPr="003F5ECB" w:rsidRDefault="003F5ECB" w:rsidP="003F5ECB">
            <w:pPr>
              <w:pStyle w:val="Sinespaciado"/>
              <w:jc w:val="center"/>
              <w:rPr>
                <w:sz w:val="20"/>
                <w:szCs w:val="20"/>
              </w:rPr>
            </w:pPr>
            <w:r w:rsidRPr="003F5ECB">
              <w:rPr>
                <w:sz w:val="20"/>
                <w:szCs w:val="20"/>
              </w:rPr>
              <w:t>600</w:t>
            </w:r>
          </w:p>
        </w:tc>
      </w:tr>
      <w:tr w:rsidR="003F5ECB" w:rsidRPr="003F5ECB" w:rsidTr="007524B6">
        <w:trPr>
          <w:jc w:val="center"/>
        </w:trPr>
        <w:tc>
          <w:tcPr>
            <w:tcW w:w="1546" w:type="dxa"/>
          </w:tcPr>
          <w:p w:rsidR="003F5ECB" w:rsidRPr="003F5ECB" w:rsidRDefault="007524B6" w:rsidP="003F5ECB">
            <w:pPr>
              <w:pStyle w:val="Sinespaciado"/>
              <w:jc w:val="center"/>
              <w:rPr>
                <w:sz w:val="20"/>
                <w:szCs w:val="20"/>
              </w:rPr>
            </w:pPr>
            <w:r>
              <w:rPr>
                <w:sz w:val="20"/>
                <w:szCs w:val="20"/>
              </w:rPr>
              <w:t>La Vi</w:t>
            </w:r>
            <w:r w:rsidR="003F5ECB" w:rsidRPr="003F5ECB">
              <w:rPr>
                <w:sz w:val="20"/>
                <w:szCs w:val="20"/>
              </w:rPr>
              <w:t>ctoria</w:t>
            </w:r>
          </w:p>
        </w:tc>
        <w:tc>
          <w:tcPr>
            <w:tcW w:w="1128" w:type="dxa"/>
          </w:tcPr>
          <w:p w:rsidR="003F5ECB" w:rsidRPr="003F5ECB" w:rsidRDefault="003F5ECB" w:rsidP="003F5ECB">
            <w:pPr>
              <w:pStyle w:val="Sinespaciado"/>
              <w:jc w:val="center"/>
              <w:rPr>
                <w:sz w:val="20"/>
                <w:szCs w:val="20"/>
              </w:rPr>
            </w:pPr>
            <w:r w:rsidRPr="003F5ECB">
              <w:rPr>
                <w:sz w:val="20"/>
                <w:szCs w:val="20"/>
              </w:rPr>
              <w:t>600</w:t>
            </w:r>
          </w:p>
        </w:tc>
        <w:tc>
          <w:tcPr>
            <w:tcW w:w="1721" w:type="dxa"/>
          </w:tcPr>
          <w:p w:rsidR="003F5ECB" w:rsidRPr="003F5ECB" w:rsidRDefault="003F5ECB" w:rsidP="003F5ECB">
            <w:pPr>
              <w:pStyle w:val="Sinespaciado"/>
              <w:jc w:val="center"/>
              <w:rPr>
                <w:sz w:val="20"/>
                <w:szCs w:val="20"/>
              </w:rPr>
            </w:pPr>
            <w:r w:rsidRPr="003F5ECB">
              <w:rPr>
                <w:sz w:val="20"/>
                <w:szCs w:val="20"/>
              </w:rPr>
              <w:t>800</w:t>
            </w:r>
          </w:p>
        </w:tc>
      </w:tr>
      <w:tr w:rsidR="003F5ECB" w:rsidRPr="003F5ECB" w:rsidTr="007524B6">
        <w:trPr>
          <w:jc w:val="center"/>
        </w:trPr>
        <w:tc>
          <w:tcPr>
            <w:tcW w:w="1546" w:type="dxa"/>
          </w:tcPr>
          <w:p w:rsidR="003F5ECB" w:rsidRPr="003F5ECB" w:rsidRDefault="003F5ECB" w:rsidP="003F5ECB">
            <w:pPr>
              <w:pStyle w:val="Sinespaciado"/>
              <w:jc w:val="center"/>
              <w:rPr>
                <w:sz w:val="20"/>
                <w:szCs w:val="20"/>
              </w:rPr>
            </w:pPr>
            <w:r w:rsidRPr="003F5ECB">
              <w:rPr>
                <w:sz w:val="20"/>
                <w:szCs w:val="20"/>
              </w:rPr>
              <w:t>La Esperanza</w:t>
            </w:r>
          </w:p>
        </w:tc>
        <w:tc>
          <w:tcPr>
            <w:tcW w:w="1128" w:type="dxa"/>
          </w:tcPr>
          <w:p w:rsidR="003F5ECB" w:rsidRPr="003F5ECB" w:rsidRDefault="003F5ECB" w:rsidP="003F5ECB">
            <w:pPr>
              <w:pStyle w:val="Sinespaciado"/>
              <w:jc w:val="center"/>
              <w:rPr>
                <w:sz w:val="20"/>
                <w:szCs w:val="20"/>
              </w:rPr>
            </w:pPr>
            <w:r w:rsidRPr="003F5ECB">
              <w:rPr>
                <w:sz w:val="20"/>
                <w:szCs w:val="20"/>
              </w:rPr>
              <w:t>300</w:t>
            </w:r>
          </w:p>
        </w:tc>
        <w:tc>
          <w:tcPr>
            <w:tcW w:w="1721" w:type="dxa"/>
          </w:tcPr>
          <w:p w:rsidR="003F5ECB" w:rsidRPr="003F5ECB" w:rsidRDefault="003F5ECB" w:rsidP="003F5ECB">
            <w:pPr>
              <w:pStyle w:val="Sinespaciado"/>
              <w:jc w:val="center"/>
              <w:rPr>
                <w:sz w:val="20"/>
                <w:szCs w:val="20"/>
              </w:rPr>
            </w:pPr>
            <w:r w:rsidRPr="003F5ECB">
              <w:rPr>
                <w:sz w:val="20"/>
                <w:szCs w:val="20"/>
              </w:rPr>
              <w:t>375</w:t>
            </w:r>
          </w:p>
        </w:tc>
      </w:tr>
    </w:tbl>
    <w:p w:rsidR="003F5ECB" w:rsidRPr="003F5ECB" w:rsidRDefault="003F5ECB" w:rsidP="00014574">
      <w:pPr>
        <w:pStyle w:val="Sinespaciado"/>
        <w:rPr>
          <w:sz w:val="20"/>
          <w:szCs w:val="20"/>
        </w:rPr>
      </w:pPr>
    </w:p>
    <w:tbl>
      <w:tblPr>
        <w:tblStyle w:val="Tablaconcuadrcula"/>
        <w:tblW w:w="0" w:type="auto"/>
        <w:jc w:val="center"/>
        <w:tblLook w:val="04A0" w:firstRow="1" w:lastRow="0" w:firstColumn="1" w:lastColumn="0" w:noHBand="0" w:noVBand="1"/>
      </w:tblPr>
      <w:tblGrid>
        <w:gridCol w:w="1143"/>
        <w:gridCol w:w="2244"/>
        <w:gridCol w:w="2424"/>
        <w:gridCol w:w="1329"/>
      </w:tblGrid>
      <w:tr w:rsidR="003F5ECB" w:rsidRPr="003F5ECB" w:rsidTr="007524B6">
        <w:trPr>
          <w:jc w:val="center"/>
        </w:trPr>
        <w:tc>
          <w:tcPr>
            <w:tcW w:w="7140" w:type="dxa"/>
            <w:gridSpan w:val="4"/>
            <w:shd w:val="clear" w:color="auto" w:fill="D9D9D9" w:themeFill="background1" w:themeFillShade="D9"/>
            <w:vAlign w:val="center"/>
          </w:tcPr>
          <w:p w:rsidR="003F5ECB" w:rsidRPr="003F5ECB" w:rsidRDefault="003F5ECB" w:rsidP="003F5ECB">
            <w:pPr>
              <w:pStyle w:val="Sinespaciado"/>
              <w:jc w:val="center"/>
              <w:rPr>
                <w:b/>
                <w:sz w:val="20"/>
                <w:szCs w:val="20"/>
              </w:rPr>
            </w:pPr>
            <w:r w:rsidRPr="003F5ECB">
              <w:rPr>
                <w:b/>
                <w:sz w:val="20"/>
                <w:szCs w:val="20"/>
              </w:rPr>
              <w:t>Datos de rendimientos y cosechas por producto</w:t>
            </w:r>
          </w:p>
        </w:tc>
      </w:tr>
      <w:tr w:rsidR="003F5ECB" w:rsidRPr="003F5ECB" w:rsidTr="007524B6">
        <w:trPr>
          <w:jc w:val="center"/>
        </w:trPr>
        <w:tc>
          <w:tcPr>
            <w:tcW w:w="1143" w:type="dxa"/>
            <w:shd w:val="clear" w:color="auto" w:fill="D9D9D9" w:themeFill="background1" w:themeFillShade="D9"/>
            <w:vAlign w:val="center"/>
          </w:tcPr>
          <w:p w:rsidR="003F5ECB" w:rsidRPr="003F5ECB" w:rsidRDefault="003F5ECB" w:rsidP="003F5ECB">
            <w:pPr>
              <w:pStyle w:val="Sinespaciado"/>
              <w:jc w:val="center"/>
              <w:rPr>
                <w:b/>
                <w:sz w:val="20"/>
                <w:szCs w:val="20"/>
              </w:rPr>
            </w:pPr>
            <w:r w:rsidRPr="003F5ECB">
              <w:rPr>
                <w:b/>
                <w:sz w:val="20"/>
                <w:szCs w:val="20"/>
              </w:rPr>
              <w:t>Producto</w:t>
            </w:r>
          </w:p>
        </w:tc>
        <w:tc>
          <w:tcPr>
            <w:tcW w:w="2244" w:type="dxa"/>
            <w:shd w:val="clear" w:color="auto" w:fill="D9D9D9" w:themeFill="background1" w:themeFillShade="D9"/>
            <w:vAlign w:val="center"/>
          </w:tcPr>
          <w:p w:rsidR="003F5ECB" w:rsidRPr="003F5ECB" w:rsidRDefault="003F5ECB" w:rsidP="003F5ECB">
            <w:pPr>
              <w:pStyle w:val="Sinespaciado"/>
              <w:jc w:val="center"/>
              <w:rPr>
                <w:b/>
                <w:sz w:val="20"/>
                <w:szCs w:val="20"/>
              </w:rPr>
            </w:pPr>
            <w:r w:rsidRPr="003F5ECB">
              <w:rPr>
                <w:b/>
                <w:sz w:val="20"/>
                <w:szCs w:val="20"/>
              </w:rPr>
              <w:t>Cantidad Máxima que puede sembrarse (ha)</w:t>
            </w:r>
          </w:p>
        </w:tc>
        <w:tc>
          <w:tcPr>
            <w:tcW w:w="2424" w:type="dxa"/>
            <w:shd w:val="clear" w:color="auto" w:fill="D9D9D9" w:themeFill="background1" w:themeFillShade="D9"/>
            <w:vAlign w:val="center"/>
          </w:tcPr>
          <w:p w:rsidR="003F5ECB" w:rsidRPr="003F5ECB" w:rsidRDefault="003F5ECB" w:rsidP="003F5ECB">
            <w:pPr>
              <w:pStyle w:val="Sinespaciado"/>
              <w:jc w:val="center"/>
              <w:rPr>
                <w:b/>
                <w:sz w:val="20"/>
                <w:szCs w:val="20"/>
              </w:rPr>
            </w:pPr>
            <w:r w:rsidRPr="003F5ECB">
              <w:rPr>
                <w:b/>
                <w:sz w:val="20"/>
                <w:szCs w:val="20"/>
              </w:rPr>
              <w:t>Consumo de Agua</w:t>
            </w:r>
          </w:p>
          <w:p w:rsidR="003F5ECB" w:rsidRPr="003F5ECB" w:rsidRDefault="003F5ECB" w:rsidP="003F5ECB">
            <w:pPr>
              <w:pStyle w:val="Sinespaciado"/>
              <w:jc w:val="center"/>
              <w:rPr>
                <w:b/>
                <w:sz w:val="20"/>
                <w:szCs w:val="20"/>
              </w:rPr>
            </w:pPr>
            <w:r w:rsidRPr="003F5ECB">
              <w:rPr>
                <w:b/>
                <w:sz w:val="20"/>
                <w:szCs w:val="20"/>
              </w:rPr>
              <w:t>(pie</w:t>
            </w:r>
            <w:r w:rsidRPr="003F5ECB">
              <w:rPr>
                <w:b/>
                <w:sz w:val="20"/>
                <w:szCs w:val="20"/>
                <w:vertAlign w:val="superscript"/>
              </w:rPr>
              <w:t>3</w:t>
            </w:r>
            <w:r w:rsidRPr="003F5ECB">
              <w:rPr>
                <w:b/>
                <w:sz w:val="20"/>
                <w:szCs w:val="20"/>
              </w:rPr>
              <w:t>/ha por ha sembrada</w:t>
            </w:r>
          </w:p>
        </w:tc>
        <w:tc>
          <w:tcPr>
            <w:tcW w:w="1329" w:type="dxa"/>
            <w:shd w:val="clear" w:color="auto" w:fill="D9D9D9" w:themeFill="background1" w:themeFillShade="D9"/>
            <w:vAlign w:val="center"/>
          </w:tcPr>
          <w:p w:rsidR="003F5ECB" w:rsidRPr="003F5ECB" w:rsidRDefault="003F5ECB" w:rsidP="003F5ECB">
            <w:pPr>
              <w:pStyle w:val="Sinespaciado"/>
              <w:jc w:val="center"/>
              <w:rPr>
                <w:b/>
                <w:sz w:val="20"/>
                <w:szCs w:val="20"/>
              </w:rPr>
            </w:pPr>
            <w:r w:rsidRPr="003F5ECB">
              <w:rPr>
                <w:b/>
                <w:sz w:val="20"/>
                <w:szCs w:val="20"/>
              </w:rPr>
              <w:t>Rendimiento</w:t>
            </w:r>
          </w:p>
          <w:p w:rsidR="003F5ECB" w:rsidRPr="003F5ECB" w:rsidRDefault="003F5ECB" w:rsidP="003F5ECB">
            <w:pPr>
              <w:pStyle w:val="Sinespaciado"/>
              <w:jc w:val="center"/>
              <w:rPr>
                <w:b/>
                <w:sz w:val="20"/>
                <w:szCs w:val="20"/>
              </w:rPr>
            </w:pPr>
            <w:r w:rsidRPr="003F5ECB">
              <w:rPr>
                <w:b/>
                <w:sz w:val="20"/>
                <w:szCs w:val="20"/>
              </w:rPr>
              <w:t>($/ha)</w:t>
            </w:r>
          </w:p>
        </w:tc>
      </w:tr>
      <w:tr w:rsidR="003F5ECB" w:rsidRPr="003F5ECB" w:rsidTr="007524B6">
        <w:trPr>
          <w:jc w:val="center"/>
        </w:trPr>
        <w:tc>
          <w:tcPr>
            <w:tcW w:w="1143" w:type="dxa"/>
            <w:vAlign w:val="center"/>
          </w:tcPr>
          <w:p w:rsidR="003F5ECB" w:rsidRPr="003F5ECB" w:rsidRDefault="003F5ECB" w:rsidP="003F5ECB">
            <w:pPr>
              <w:pStyle w:val="Sinespaciado"/>
              <w:jc w:val="center"/>
              <w:rPr>
                <w:sz w:val="20"/>
                <w:szCs w:val="20"/>
              </w:rPr>
            </w:pPr>
            <w:r w:rsidRPr="003F5ECB">
              <w:rPr>
                <w:sz w:val="20"/>
                <w:szCs w:val="20"/>
              </w:rPr>
              <w:t>Arroz</w:t>
            </w:r>
          </w:p>
        </w:tc>
        <w:tc>
          <w:tcPr>
            <w:tcW w:w="2244" w:type="dxa"/>
            <w:vAlign w:val="center"/>
          </w:tcPr>
          <w:p w:rsidR="003F5ECB" w:rsidRPr="003F5ECB" w:rsidRDefault="003F5ECB" w:rsidP="003F5ECB">
            <w:pPr>
              <w:pStyle w:val="Sinespaciado"/>
              <w:jc w:val="center"/>
              <w:rPr>
                <w:sz w:val="20"/>
                <w:szCs w:val="20"/>
              </w:rPr>
            </w:pPr>
            <w:r w:rsidRPr="003F5ECB">
              <w:rPr>
                <w:sz w:val="20"/>
                <w:szCs w:val="20"/>
              </w:rPr>
              <w:t>600</w:t>
            </w:r>
          </w:p>
        </w:tc>
        <w:tc>
          <w:tcPr>
            <w:tcW w:w="2424" w:type="dxa"/>
            <w:vAlign w:val="center"/>
          </w:tcPr>
          <w:p w:rsidR="003F5ECB" w:rsidRPr="003F5ECB" w:rsidRDefault="003F5ECB" w:rsidP="003F5ECB">
            <w:pPr>
              <w:pStyle w:val="Sinespaciado"/>
              <w:jc w:val="center"/>
              <w:rPr>
                <w:sz w:val="20"/>
                <w:szCs w:val="20"/>
              </w:rPr>
            </w:pPr>
            <w:r w:rsidRPr="003F5ECB">
              <w:rPr>
                <w:sz w:val="20"/>
                <w:szCs w:val="20"/>
              </w:rPr>
              <w:t>3</w:t>
            </w:r>
          </w:p>
        </w:tc>
        <w:tc>
          <w:tcPr>
            <w:tcW w:w="1329" w:type="dxa"/>
            <w:vAlign w:val="center"/>
          </w:tcPr>
          <w:p w:rsidR="003F5ECB" w:rsidRPr="003F5ECB" w:rsidRDefault="003F5ECB" w:rsidP="003F5ECB">
            <w:pPr>
              <w:pStyle w:val="Sinespaciado"/>
              <w:jc w:val="center"/>
              <w:rPr>
                <w:sz w:val="20"/>
                <w:szCs w:val="20"/>
              </w:rPr>
            </w:pPr>
            <w:r w:rsidRPr="003F5ECB">
              <w:rPr>
                <w:sz w:val="20"/>
                <w:szCs w:val="20"/>
              </w:rPr>
              <w:t>1,000</w:t>
            </w:r>
          </w:p>
        </w:tc>
      </w:tr>
      <w:tr w:rsidR="003F5ECB" w:rsidRPr="003F5ECB" w:rsidTr="007524B6">
        <w:trPr>
          <w:jc w:val="center"/>
        </w:trPr>
        <w:tc>
          <w:tcPr>
            <w:tcW w:w="1143" w:type="dxa"/>
            <w:vAlign w:val="center"/>
          </w:tcPr>
          <w:p w:rsidR="003F5ECB" w:rsidRPr="003F5ECB" w:rsidRDefault="003F5ECB" w:rsidP="003F5ECB">
            <w:pPr>
              <w:pStyle w:val="Sinespaciado"/>
              <w:jc w:val="center"/>
              <w:rPr>
                <w:sz w:val="20"/>
                <w:szCs w:val="20"/>
              </w:rPr>
            </w:pPr>
            <w:r w:rsidRPr="003F5ECB">
              <w:rPr>
                <w:sz w:val="20"/>
                <w:szCs w:val="20"/>
              </w:rPr>
              <w:t>Algodón</w:t>
            </w:r>
          </w:p>
        </w:tc>
        <w:tc>
          <w:tcPr>
            <w:tcW w:w="2244" w:type="dxa"/>
            <w:vAlign w:val="center"/>
          </w:tcPr>
          <w:p w:rsidR="003F5ECB" w:rsidRPr="003F5ECB" w:rsidRDefault="003F5ECB" w:rsidP="003F5ECB">
            <w:pPr>
              <w:pStyle w:val="Sinespaciado"/>
              <w:jc w:val="center"/>
              <w:rPr>
                <w:sz w:val="20"/>
                <w:szCs w:val="20"/>
              </w:rPr>
            </w:pPr>
            <w:r w:rsidRPr="003F5ECB">
              <w:rPr>
                <w:sz w:val="20"/>
                <w:szCs w:val="20"/>
              </w:rPr>
              <w:t>500</w:t>
            </w:r>
          </w:p>
        </w:tc>
        <w:tc>
          <w:tcPr>
            <w:tcW w:w="2424" w:type="dxa"/>
            <w:vAlign w:val="center"/>
          </w:tcPr>
          <w:p w:rsidR="003F5ECB" w:rsidRPr="003F5ECB" w:rsidRDefault="003F5ECB" w:rsidP="003F5ECB">
            <w:pPr>
              <w:pStyle w:val="Sinespaciado"/>
              <w:jc w:val="center"/>
              <w:rPr>
                <w:sz w:val="20"/>
                <w:szCs w:val="20"/>
              </w:rPr>
            </w:pPr>
            <w:r w:rsidRPr="003F5ECB">
              <w:rPr>
                <w:sz w:val="20"/>
                <w:szCs w:val="20"/>
              </w:rPr>
              <w:t>2</w:t>
            </w:r>
          </w:p>
        </w:tc>
        <w:tc>
          <w:tcPr>
            <w:tcW w:w="1329" w:type="dxa"/>
            <w:vAlign w:val="center"/>
          </w:tcPr>
          <w:p w:rsidR="003F5ECB" w:rsidRPr="003F5ECB" w:rsidRDefault="003F5ECB" w:rsidP="003F5ECB">
            <w:pPr>
              <w:pStyle w:val="Sinespaciado"/>
              <w:jc w:val="center"/>
              <w:rPr>
                <w:sz w:val="20"/>
                <w:szCs w:val="20"/>
              </w:rPr>
            </w:pPr>
            <w:r w:rsidRPr="003F5ECB">
              <w:rPr>
                <w:sz w:val="20"/>
                <w:szCs w:val="20"/>
              </w:rPr>
              <w:t>750</w:t>
            </w:r>
          </w:p>
        </w:tc>
      </w:tr>
      <w:tr w:rsidR="003F5ECB" w:rsidRPr="003F5ECB" w:rsidTr="007524B6">
        <w:trPr>
          <w:jc w:val="center"/>
        </w:trPr>
        <w:tc>
          <w:tcPr>
            <w:tcW w:w="1143" w:type="dxa"/>
            <w:vAlign w:val="center"/>
          </w:tcPr>
          <w:p w:rsidR="003F5ECB" w:rsidRPr="003F5ECB" w:rsidRDefault="003F5ECB" w:rsidP="003F5ECB">
            <w:pPr>
              <w:pStyle w:val="Sinespaciado"/>
              <w:jc w:val="center"/>
              <w:rPr>
                <w:sz w:val="20"/>
                <w:szCs w:val="20"/>
              </w:rPr>
            </w:pPr>
            <w:r w:rsidRPr="003F5ECB">
              <w:rPr>
                <w:sz w:val="20"/>
                <w:szCs w:val="20"/>
              </w:rPr>
              <w:t>Sorgo</w:t>
            </w:r>
          </w:p>
        </w:tc>
        <w:tc>
          <w:tcPr>
            <w:tcW w:w="2244" w:type="dxa"/>
            <w:vAlign w:val="center"/>
          </w:tcPr>
          <w:p w:rsidR="003F5ECB" w:rsidRPr="003F5ECB" w:rsidRDefault="003F5ECB" w:rsidP="003F5ECB">
            <w:pPr>
              <w:pStyle w:val="Sinespaciado"/>
              <w:jc w:val="center"/>
              <w:rPr>
                <w:sz w:val="20"/>
                <w:szCs w:val="20"/>
              </w:rPr>
            </w:pPr>
            <w:r w:rsidRPr="003F5ECB">
              <w:rPr>
                <w:sz w:val="20"/>
                <w:szCs w:val="20"/>
              </w:rPr>
              <w:t>325</w:t>
            </w:r>
          </w:p>
        </w:tc>
        <w:tc>
          <w:tcPr>
            <w:tcW w:w="2424" w:type="dxa"/>
            <w:vAlign w:val="center"/>
          </w:tcPr>
          <w:p w:rsidR="003F5ECB" w:rsidRPr="003F5ECB" w:rsidRDefault="003F5ECB" w:rsidP="003F5ECB">
            <w:pPr>
              <w:pStyle w:val="Sinespaciado"/>
              <w:jc w:val="center"/>
              <w:rPr>
                <w:sz w:val="20"/>
                <w:szCs w:val="20"/>
              </w:rPr>
            </w:pPr>
            <w:r w:rsidRPr="003F5ECB">
              <w:rPr>
                <w:sz w:val="20"/>
                <w:szCs w:val="20"/>
              </w:rPr>
              <w:t>1</w:t>
            </w:r>
          </w:p>
        </w:tc>
        <w:tc>
          <w:tcPr>
            <w:tcW w:w="1329" w:type="dxa"/>
            <w:vAlign w:val="center"/>
          </w:tcPr>
          <w:p w:rsidR="003F5ECB" w:rsidRPr="003F5ECB" w:rsidRDefault="003F5ECB" w:rsidP="003F5ECB">
            <w:pPr>
              <w:pStyle w:val="Sinespaciado"/>
              <w:jc w:val="center"/>
              <w:rPr>
                <w:sz w:val="20"/>
                <w:szCs w:val="20"/>
              </w:rPr>
            </w:pPr>
            <w:r w:rsidRPr="003F5ECB">
              <w:rPr>
                <w:sz w:val="20"/>
                <w:szCs w:val="20"/>
              </w:rPr>
              <w:t>250</w:t>
            </w:r>
          </w:p>
        </w:tc>
      </w:tr>
    </w:tbl>
    <w:p w:rsidR="00AE7FE9" w:rsidRDefault="00AE7FE9" w:rsidP="00AE7FE9">
      <w:pPr>
        <w:pStyle w:val="Sinespaciado"/>
        <w:rPr>
          <w:b/>
          <w:sz w:val="20"/>
          <w:szCs w:val="20"/>
        </w:rPr>
      </w:pPr>
    </w:p>
    <w:p w:rsidR="00C07E27" w:rsidRDefault="00C07E27" w:rsidP="00AE7FE9">
      <w:pPr>
        <w:pStyle w:val="Sinespaciado"/>
        <w:rPr>
          <w:b/>
          <w:sz w:val="20"/>
          <w:szCs w:val="20"/>
        </w:rPr>
      </w:pPr>
    </w:p>
    <w:p w:rsidR="007F183D" w:rsidRPr="00BE7D3C" w:rsidRDefault="0095725C" w:rsidP="00BE7D3C">
      <w:pPr>
        <w:pStyle w:val="Prrafodelista"/>
        <w:numPr>
          <w:ilvl w:val="0"/>
          <w:numId w:val="9"/>
        </w:numPr>
        <w:autoSpaceDE w:val="0"/>
        <w:autoSpaceDN w:val="0"/>
        <w:adjustRightInd w:val="0"/>
        <w:spacing w:after="0" w:line="240" w:lineRule="auto"/>
        <w:jc w:val="both"/>
        <w:rPr>
          <w:rFonts w:cstheme="minorHAnsi"/>
          <w:sz w:val="20"/>
          <w:szCs w:val="20"/>
        </w:rPr>
      </w:pPr>
      <w:r w:rsidRPr="00BE7D3C">
        <w:rPr>
          <w:rFonts w:cstheme="minorHAnsi"/>
          <w:sz w:val="20"/>
          <w:szCs w:val="20"/>
        </w:rPr>
        <w:lastRenderedPageBreak/>
        <w:t xml:space="preserve">Desarrollos Alfa posee 800 </w:t>
      </w:r>
      <w:r w:rsidRPr="00BE7D3C">
        <w:rPr>
          <w:rFonts w:cstheme="minorHAnsi"/>
          <w:sz w:val="20"/>
          <w:szCs w:val="20"/>
        </w:rPr>
        <w:t>hectáreas</w:t>
      </w:r>
      <w:r w:rsidRPr="00BE7D3C">
        <w:rPr>
          <w:rFonts w:cstheme="minorHAnsi"/>
          <w:sz w:val="20"/>
          <w:szCs w:val="20"/>
        </w:rPr>
        <w:t xml:space="preserve"> de terreno en un lago escénico en el corazón de una sierra. Antes</w:t>
      </w:r>
      <w:r w:rsidR="007F183D" w:rsidRPr="00BE7D3C">
        <w:rPr>
          <w:rFonts w:cstheme="minorHAnsi"/>
          <w:sz w:val="20"/>
          <w:szCs w:val="20"/>
        </w:rPr>
        <w:t xml:space="preserve"> </w:t>
      </w:r>
      <w:r w:rsidRPr="00BE7D3C">
        <w:rPr>
          <w:rFonts w:cstheme="minorHAnsi"/>
          <w:sz w:val="20"/>
          <w:szCs w:val="20"/>
        </w:rPr>
        <w:t>se aplicaban pocos o ningún reglamento a los nuevos desarrollos en torno al lago. Las orillas</w:t>
      </w:r>
      <w:r w:rsidR="007F183D" w:rsidRPr="00BE7D3C">
        <w:rPr>
          <w:rFonts w:cstheme="minorHAnsi"/>
          <w:sz w:val="20"/>
          <w:szCs w:val="20"/>
        </w:rPr>
        <w:t xml:space="preserve"> del lago</w:t>
      </w:r>
      <w:r w:rsidRPr="00BE7D3C">
        <w:rPr>
          <w:rFonts w:cstheme="minorHAnsi"/>
          <w:sz w:val="20"/>
          <w:szCs w:val="20"/>
        </w:rPr>
        <w:t xml:space="preserve"> están hoy pobladas con casas de campo, y debido a la carencia de servicios de alcantarillado,</w:t>
      </w:r>
      <w:r w:rsidR="007F183D" w:rsidRPr="00BE7D3C">
        <w:rPr>
          <w:rFonts w:cstheme="minorHAnsi"/>
          <w:sz w:val="20"/>
          <w:szCs w:val="20"/>
        </w:rPr>
        <w:t xml:space="preserve"> </w:t>
      </w:r>
      <w:r w:rsidRPr="00BE7D3C">
        <w:rPr>
          <w:rFonts w:cstheme="minorHAnsi"/>
          <w:sz w:val="20"/>
          <w:szCs w:val="20"/>
        </w:rPr>
        <w:t xml:space="preserve">hay muchas fosas sépticas, en su mayor parte mal instaladas. </w:t>
      </w:r>
    </w:p>
    <w:p w:rsidR="007F183D" w:rsidRPr="00BE7D3C" w:rsidRDefault="007F183D" w:rsidP="0095725C">
      <w:pPr>
        <w:autoSpaceDE w:val="0"/>
        <w:autoSpaceDN w:val="0"/>
        <w:adjustRightInd w:val="0"/>
        <w:spacing w:after="0" w:line="240" w:lineRule="auto"/>
        <w:rPr>
          <w:rFonts w:cstheme="minorHAnsi"/>
          <w:sz w:val="20"/>
          <w:szCs w:val="20"/>
        </w:rPr>
      </w:pPr>
    </w:p>
    <w:p w:rsidR="00C07E27" w:rsidRPr="00BE7D3C" w:rsidRDefault="0095725C" w:rsidP="008129CB">
      <w:pPr>
        <w:autoSpaceDE w:val="0"/>
        <w:autoSpaceDN w:val="0"/>
        <w:adjustRightInd w:val="0"/>
        <w:spacing w:after="0" w:line="240" w:lineRule="auto"/>
        <w:ind w:left="709"/>
        <w:rPr>
          <w:rFonts w:cstheme="minorHAnsi"/>
          <w:sz w:val="20"/>
          <w:szCs w:val="20"/>
        </w:rPr>
      </w:pPr>
      <w:r w:rsidRPr="00BE7D3C">
        <w:rPr>
          <w:rFonts w:cstheme="minorHAnsi"/>
          <w:sz w:val="20"/>
          <w:szCs w:val="20"/>
        </w:rPr>
        <w:t>A</w:t>
      </w:r>
      <w:r w:rsidR="007F183D" w:rsidRPr="00BE7D3C">
        <w:rPr>
          <w:rFonts w:cstheme="minorHAnsi"/>
          <w:sz w:val="20"/>
          <w:szCs w:val="20"/>
        </w:rPr>
        <w:t xml:space="preserve"> </w:t>
      </w:r>
      <w:r w:rsidRPr="00BE7D3C">
        <w:rPr>
          <w:rFonts w:cstheme="minorHAnsi"/>
          <w:sz w:val="20"/>
          <w:szCs w:val="20"/>
        </w:rPr>
        <w:t>través de los años, las filtraciones</w:t>
      </w:r>
      <w:r w:rsidR="007F183D" w:rsidRPr="00BE7D3C">
        <w:rPr>
          <w:rFonts w:cstheme="minorHAnsi"/>
          <w:sz w:val="20"/>
          <w:szCs w:val="20"/>
        </w:rPr>
        <w:t xml:space="preserve"> </w:t>
      </w:r>
      <w:r w:rsidRPr="00BE7D3C">
        <w:rPr>
          <w:rFonts w:cstheme="minorHAnsi"/>
          <w:sz w:val="20"/>
          <w:szCs w:val="20"/>
        </w:rPr>
        <w:t>de las fosas sépticas ha</w:t>
      </w:r>
      <w:r w:rsidR="007F183D" w:rsidRPr="00BE7D3C">
        <w:rPr>
          <w:rFonts w:cstheme="minorHAnsi"/>
          <w:sz w:val="20"/>
          <w:szCs w:val="20"/>
        </w:rPr>
        <w:t>n</w:t>
      </w:r>
      <w:r w:rsidRPr="00BE7D3C">
        <w:rPr>
          <w:rFonts w:cstheme="minorHAnsi"/>
          <w:sz w:val="20"/>
          <w:szCs w:val="20"/>
        </w:rPr>
        <w:t xml:space="preserve"> ocasionado un grave problema de contaminación de agua.</w:t>
      </w:r>
      <w:r w:rsidR="007F183D" w:rsidRPr="00BE7D3C">
        <w:rPr>
          <w:rFonts w:cstheme="minorHAnsi"/>
          <w:sz w:val="20"/>
          <w:szCs w:val="20"/>
        </w:rPr>
        <w:t xml:space="preserve"> </w:t>
      </w:r>
      <w:r w:rsidRPr="00BE7D3C">
        <w:rPr>
          <w:rFonts w:cstheme="minorHAnsi"/>
          <w:sz w:val="20"/>
          <w:szCs w:val="20"/>
        </w:rPr>
        <w:t xml:space="preserve">Para mitigar </w:t>
      </w:r>
      <w:r w:rsidR="007F183D" w:rsidRPr="00BE7D3C">
        <w:rPr>
          <w:rFonts w:cstheme="minorHAnsi"/>
          <w:sz w:val="20"/>
          <w:szCs w:val="20"/>
        </w:rPr>
        <w:t>la degradación</w:t>
      </w:r>
      <w:r w:rsidRPr="00BE7D3C">
        <w:rPr>
          <w:rFonts w:cstheme="minorHAnsi"/>
          <w:sz w:val="20"/>
          <w:szCs w:val="20"/>
        </w:rPr>
        <w:t xml:space="preserve"> de la calidad del agua, las autoridades municipales aprobaron</w:t>
      </w:r>
      <w:r w:rsidR="007F183D" w:rsidRPr="00BE7D3C">
        <w:rPr>
          <w:rFonts w:cstheme="minorHAnsi"/>
          <w:sz w:val="20"/>
          <w:szCs w:val="20"/>
        </w:rPr>
        <w:t xml:space="preserve"> </w:t>
      </w:r>
      <w:r w:rsidRPr="00BE7D3C">
        <w:rPr>
          <w:rFonts w:cstheme="minorHAnsi"/>
          <w:sz w:val="20"/>
          <w:szCs w:val="20"/>
        </w:rPr>
        <w:t>reglamentos estrictos para todos los desarrollos en el futuro.</w:t>
      </w:r>
    </w:p>
    <w:p w:rsidR="007F183D" w:rsidRPr="00BE7D3C" w:rsidRDefault="007F183D" w:rsidP="008129CB">
      <w:pPr>
        <w:autoSpaceDE w:val="0"/>
        <w:autoSpaceDN w:val="0"/>
        <w:adjustRightInd w:val="0"/>
        <w:spacing w:after="0" w:line="240" w:lineRule="auto"/>
        <w:ind w:left="709"/>
        <w:rPr>
          <w:rFonts w:cstheme="minorHAnsi"/>
          <w:sz w:val="20"/>
          <w:szCs w:val="20"/>
        </w:rPr>
      </w:pPr>
    </w:p>
    <w:p w:rsidR="007F183D" w:rsidRPr="00BE7D3C" w:rsidRDefault="007F183D" w:rsidP="008129CB">
      <w:pPr>
        <w:pStyle w:val="Prrafodelista"/>
        <w:numPr>
          <w:ilvl w:val="0"/>
          <w:numId w:val="13"/>
        </w:numPr>
        <w:autoSpaceDE w:val="0"/>
        <w:autoSpaceDN w:val="0"/>
        <w:adjustRightInd w:val="0"/>
        <w:spacing w:after="0" w:line="240" w:lineRule="auto"/>
        <w:ind w:left="1276" w:hanging="425"/>
        <w:rPr>
          <w:rFonts w:cstheme="minorHAnsi"/>
          <w:sz w:val="20"/>
          <w:szCs w:val="20"/>
        </w:rPr>
      </w:pPr>
      <w:r w:rsidRPr="00BE7D3C">
        <w:rPr>
          <w:rFonts w:cstheme="minorHAnsi"/>
          <w:sz w:val="20"/>
          <w:szCs w:val="20"/>
        </w:rPr>
        <w:t>Sólo se pueden construir casas para una, dos y tres familias, y las casas unifamiliares</w:t>
      </w:r>
      <w:r w:rsidRPr="00BE7D3C">
        <w:rPr>
          <w:rFonts w:cstheme="minorHAnsi"/>
          <w:sz w:val="20"/>
          <w:szCs w:val="20"/>
        </w:rPr>
        <w:t xml:space="preserve"> </w:t>
      </w:r>
      <w:r w:rsidRPr="00BE7D3C">
        <w:rPr>
          <w:rFonts w:cstheme="minorHAnsi"/>
          <w:sz w:val="20"/>
          <w:szCs w:val="20"/>
        </w:rPr>
        <w:t>deben ser al menos el 50% del total.</w:t>
      </w:r>
    </w:p>
    <w:p w:rsidR="007F183D" w:rsidRPr="00BE7D3C" w:rsidRDefault="007F183D" w:rsidP="008129CB">
      <w:pPr>
        <w:pStyle w:val="Prrafodelista"/>
        <w:numPr>
          <w:ilvl w:val="0"/>
          <w:numId w:val="13"/>
        </w:numPr>
        <w:autoSpaceDE w:val="0"/>
        <w:autoSpaceDN w:val="0"/>
        <w:adjustRightInd w:val="0"/>
        <w:spacing w:after="0" w:line="240" w:lineRule="auto"/>
        <w:ind w:left="1276" w:hanging="425"/>
        <w:rPr>
          <w:rFonts w:cstheme="minorHAnsi"/>
          <w:sz w:val="20"/>
          <w:szCs w:val="20"/>
        </w:rPr>
      </w:pPr>
      <w:r w:rsidRPr="00BE7D3C">
        <w:rPr>
          <w:rFonts w:cstheme="minorHAnsi"/>
          <w:sz w:val="20"/>
          <w:szCs w:val="20"/>
        </w:rPr>
        <w:t xml:space="preserve">Para limitar la cantidad de fosas sépticas, se requieren tamaños mínimos de lote de </w:t>
      </w:r>
      <w:r w:rsidRPr="00BE7D3C">
        <w:rPr>
          <w:rFonts w:cstheme="minorHAnsi"/>
          <w:sz w:val="20"/>
          <w:szCs w:val="20"/>
        </w:rPr>
        <w:t>0.25</w:t>
      </w:r>
      <w:r w:rsidRPr="00BE7D3C">
        <w:rPr>
          <w:rFonts w:cstheme="minorHAnsi"/>
          <w:sz w:val="20"/>
          <w:szCs w:val="20"/>
        </w:rPr>
        <w:t xml:space="preserve">, </w:t>
      </w:r>
      <w:r w:rsidRPr="00BE7D3C">
        <w:rPr>
          <w:rFonts w:cstheme="minorHAnsi"/>
          <w:sz w:val="20"/>
          <w:szCs w:val="20"/>
        </w:rPr>
        <w:t xml:space="preserve">0.5 </w:t>
      </w:r>
      <w:r w:rsidRPr="00BE7D3C">
        <w:rPr>
          <w:rFonts w:cstheme="minorHAnsi"/>
          <w:sz w:val="20"/>
          <w:szCs w:val="20"/>
        </w:rPr>
        <w:t xml:space="preserve">y </w:t>
      </w:r>
      <w:r w:rsidRPr="00BE7D3C">
        <w:rPr>
          <w:rFonts w:cstheme="minorHAnsi"/>
          <w:sz w:val="20"/>
          <w:szCs w:val="20"/>
        </w:rPr>
        <w:t>0.</w:t>
      </w:r>
      <w:r w:rsidR="008129CB" w:rsidRPr="00BE7D3C">
        <w:rPr>
          <w:rFonts w:cstheme="minorHAnsi"/>
          <w:sz w:val="20"/>
          <w:szCs w:val="20"/>
        </w:rPr>
        <w:t>7</w:t>
      </w:r>
      <w:r w:rsidRPr="00BE7D3C">
        <w:rPr>
          <w:rFonts w:cstheme="minorHAnsi"/>
          <w:sz w:val="20"/>
          <w:szCs w:val="20"/>
        </w:rPr>
        <w:t>5</w:t>
      </w:r>
      <w:r w:rsidRPr="00BE7D3C">
        <w:rPr>
          <w:rFonts w:cstheme="minorHAnsi"/>
          <w:sz w:val="20"/>
          <w:szCs w:val="20"/>
        </w:rPr>
        <w:t xml:space="preserve"> </w:t>
      </w:r>
      <w:r w:rsidRPr="00BE7D3C">
        <w:rPr>
          <w:rFonts w:cstheme="minorHAnsi"/>
          <w:sz w:val="20"/>
          <w:szCs w:val="20"/>
        </w:rPr>
        <w:t>hectáreas</w:t>
      </w:r>
      <w:r w:rsidRPr="00BE7D3C">
        <w:rPr>
          <w:rFonts w:cstheme="minorHAnsi"/>
          <w:sz w:val="20"/>
          <w:szCs w:val="20"/>
        </w:rPr>
        <w:t xml:space="preserve"> para las casas con una, dos y tres familias, respectivamente.</w:t>
      </w:r>
    </w:p>
    <w:p w:rsidR="007F183D" w:rsidRPr="00BE7D3C" w:rsidRDefault="007F183D" w:rsidP="008129CB">
      <w:pPr>
        <w:pStyle w:val="Prrafodelista"/>
        <w:numPr>
          <w:ilvl w:val="0"/>
          <w:numId w:val="13"/>
        </w:numPr>
        <w:autoSpaceDE w:val="0"/>
        <w:autoSpaceDN w:val="0"/>
        <w:adjustRightInd w:val="0"/>
        <w:spacing w:after="0" w:line="240" w:lineRule="auto"/>
        <w:ind w:left="1276" w:hanging="425"/>
        <w:rPr>
          <w:rFonts w:cstheme="minorHAnsi"/>
          <w:sz w:val="20"/>
          <w:szCs w:val="20"/>
        </w:rPr>
      </w:pPr>
      <w:r w:rsidRPr="00BE7D3C">
        <w:rPr>
          <w:rFonts w:cstheme="minorHAnsi"/>
          <w:sz w:val="20"/>
          <w:szCs w:val="20"/>
        </w:rPr>
        <w:t xml:space="preserve">Se deben establecer áreas de recreo de </w:t>
      </w:r>
      <w:r w:rsidRPr="00BE7D3C">
        <w:rPr>
          <w:rFonts w:cstheme="minorHAnsi"/>
          <w:sz w:val="20"/>
          <w:szCs w:val="20"/>
        </w:rPr>
        <w:t>una hectárea</w:t>
      </w:r>
      <w:r w:rsidRPr="00BE7D3C">
        <w:rPr>
          <w:rFonts w:cstheme="minorHAnsi"/>
          <w:sz w:val="20"/>
          <w:szCs w:val="20"/>
        </w:rPr>
        <w:t xml:space="preserve"> cada una, en una proporción de una por</w:t>
      </w:r>
      <w:r w:rsidRPr="00BE7D3C">
        <w:rPr>
          <w:rFonts w:cstheme="minorHAnsi"/>
          <w:sz w:val="20"/>
          <w:szCs w:val="20"/>
        </w:rPr>
        <w:t xml:space="preserve"> </w:t>
      </w:r>
      <w:r w:rsidRPr="00BE7D3C">
        <w:rPr>
          <w:rFonts w:cstheme="minorHAnsi"/>
          <w:sz w:val="20"/>
          <w:szCs w:val="20"/>
        </w:rPr>
        <w:t>200 familias.</w:t>
      </w:r>
    </w:p>
    <w:p w:rsidR="007F183D" w:rsidRPr="00BE7D3C" w:rsidRDefault="007F183D" w:rsidP="008129CB">
      <w:pPr>
        <w:pStyle w:val="Prrafodelista"/>
        <w:numPr>
          <w:ilvl w:val="0"/>
          <w:numId w:val="13"/>
        </w:numPr>
        <w:autoSpaceDE w:val="0"/>
        <w:autoSpaceDN w:val="0"/>
        <w:adjustRightInd w:val="0"/>
        <w:spacing w:after="0" w:line="240" w:lineRule="auto"/>
        <w:ind w:left="1276" w:hanging="425"/>
        <w:rPr>
          <w:rFonts w:cstheme="minorHAnsi"/>
          <w:sz w:val="20"/>
          <w:szCs w:val="20"/>
        </w:rPr>
      </w:pPr>
      <w:r w:rsidRPr="00BE7D3C">
        <w:rPr>
          <w:rFonts w:cstheme="minorHAnsi"/>
          <w:sz w:val="20"/>
          <w:szCs w:val="20"/>
        </w:rPr>
        <w:t>Para preservar la ecología del lago, no se debe bombear agua subterránea para uso doméstico</w:t>
      </w:r>
      <w:r w:rsidRPr="00BE7D3C">
        <w:rPr>
          <w:rFonts w:cstheme="minorHAnsi"/>
          <w:sz w:val="20"/>
          <w:szCs w:val="20"/>
        </w:rPr>
        <w:t xml:space="preserve"> </w:t>
      </w:r>
      <w:r w:rsidRPr="00BE7D3C">
        <w:rPr>
          <w:rFonts w:cstheme="minorHAnsi"/>
          <w:sz w:val="20"/>
          <w:szCs w:val="20"/>
        </w:rPr>
        <w:t>ni de riego.</w:t>
      </w:r>
    </w:p>
    <w:p w:rsidR="008129CB" w:rsidRPr="00BE7D3C" w:rsidRDefault="008129CB" w:rsidP="008129CB">
      <w:pPr>
        <w:autoSpaceDE w:val="0"/>
        <w:autoSpaceDN w:val="0"/>
        <w:adjustRightInd w:val="0"/>
        <w:spacing w:after="0" w:line="240" w:lineRule="auto"/>
        <w:ind w:left="709"/>
        <w:jc w:val="both"/>
        <w:rPr>
          <w:rFonts w:cstheme="minorHAnsi"/>
          <w:sz w:val="20"/>
          <w:szCs w:val="20"/>
        </w:rPr>
      </w:pPr>
    </w:p>
    <w:p w:rsidR="007F183D" w:rsidRPr="00BE7D3C" w:rsidRDefault="007F183D" w:rsidP="008129CB">
      <w:pPr>
        <w:autoSpaceDE w:val="0"/>
        <w:autoSpaceDN w:val="0"/>
        <w:adjustRightInd w:val="0"/>
        <w:spacing w:after="0" w:line="240" w:lineRule="auto"/>
        <w:ind w:left="709"/>
        <w:jc w:val="both"/>
        <w:rPr>
          <w:rFonts w:cstheme="minorHAnsi"/>
          <w:sz w:val="20"/>
          <w:szCs w:val="20"/>
        </w:rPr>
      </w:pPr>
      <w:r w:rsidRPr="00BE7D3C">
        <w:rPr>
          <w:rFonts w:cstheme="minorHAnsi"/>
          <w:sz w:val="20"/>
          <w:szCs w:val="20"/>
        </w:rPr>
        <w:t>El presidente de Desarrollos Alfa estudia la posibilidad de desarrollar l</w:t>
      </w:r>
      <w:r w:rsidRPr="00BE7D3C">
        <w:rPr>
          <w:rFonts w:cstheme="minorHAnsi"/>
          <w:sz w:val="20"/>
          <w:szCs w:val="20"/>
        </w:rPr>
        <w:t>as</w:t>
      </w:r>
      <w:r w:rsidRPr="00BE7D3C">
        <w:rPr>
          <w:rFonts w:cstheme="minorHAnsi"/>
          <w:sz w:val="20"/>
          <w:szCs w:val="20"/>
        </w:rPr>
        <w:t xml:space="preserve"> 800 </w:t>
      </w:r>
      <w:r w:rsidRPr="00BE7D3C">
        <w:rPr>
          <w:rFonts w:cstheme="minorHAnsi"/>
          <w:sz w:val="20"/>
          <w:szCs w:val="20"/>
        </w:rPr>
        <w:t xml:space="preserve">hectáreas </w:t>
      </w:r>
      <w:r w:rsidRPr="00BE7D3C">
        <w:rPr>
          <w:rFonts w:cstheme="minorHAnsi"/>
          <w:sz w:val="20"/>
          <w:szCs w:val="20"/>
        </w:rPr>
        <w:t>de la</w:t>
      </w:r>
      <w:r w:rsidRPr="00BE7D3C">
        <w:rPr>
          <w:rFonts w:cstheme="minorHAnsi"/>
          <w:sz w:val="20"/>
          <w:szCs w:val="20"/>
        </w:rPr>
        <w:t xml:space="preserve"> </w:t>
      </w:r>
      <w:r w:rsidRPr="00BE7D3C">
        <w:rPr>
          <w:rFonts w:cstheme="minorHAnsi"/>
          <w:sz w:val="20"/>
          <w:szCs w:val="20"/>
        </w:rPr>
        <w:t>empresa. El nuevo desarrollo incluirá casas para una, dos y tres familias. Se estima que el</w:t>
      </w:r>
      <w:r w:rsidRPr="00BE7D3C">
        <w:rPr>
          <w:rFonts w:cstheme="minorHAnsi"/>
          <w:sz w:val="20"/>
          <w:szCs w:val="20"/>
        </w:rPr>
        <w:t xml:space="preserve"> </w:t>
      </w:r>
      <w:r w:rsidRPr="00BE7D3C">
        <w:rPr>
          <w:rFonts w:cstheme="minorHAnsi"/>
          <w:sz w:val="20"/>
          <w:szCs w:val="20"/>
        </w:rPr>
        <w:t xml:space="preserve">15% de </w:t>
      </w:r>
      <w:r w:rsidRPr="00BE7D3C">
        <w:rPr>
          <w:rFonts w:cstheme="minorHAnsi"/>
          <w:sz w:val="20"/>
          <w:szCs w:val="20"/>
        </w:rPr>
        <w:t>las hectáreas</w:t>
      </w:r>
      <w:r w:rsidRPr="00BE7D3C">
        <w:rPr>
          <w:rFonts w:cstheme="minorHAnsi"/>
          <w:sz w:val="20"/>
          <w:szCs w:val="20"/>
        </w:rPr>
        <w:t xml:space="preserve"> se debe asignar a calles y servicios comunitarios. Alfa estima que los ingresos</w:t>
      </w:r>
      <w:r w:rsidRPr="00BE7D3C">
        <w:rPr>
          <w:rFonts w:cstheme="minorHAnsi"/>
          <w:sz w:val="20"/>
          <w:szCs w:val="20"/>
        </w:rPr>
        <w:t xml:space="preserve"> </w:t>
      </w:r>
      <w:r w:rsidRPr="00BE7D3C">
        <w:rPr>
          <w:rFonts w:cstheme="minorHAnsi"/>
          <w:sz w:val="20"/>
          <w:szCs w:val="20"/>
        </w:rPr>
        <w:t>por las diversas unidades de</w:t>
      </w:r>
      <w:r w:rsidRPr="00BE7D3C">
        <w:rPr>
          <w:rFonts w:cstheme="minorHAnsi"/>
          <w:sz w:val="20"/>
          <w:szCs w:val="20"/>
        </w:rPr>
        <w:t xml:space="preserve"> </w:t>
      </w:r>
      <w:r w:rsidRPr="00BE7D3C">
        <w:rPr>
          <w:rFonts w:cstheme="minorHAnsi"/>
          <w:sz w:val="20"/>
          <w:szCs w:val="20"/>
        </w:rPr>
        <w:t>habitación serán</w:t>
      </w:r>
      <w:r w:rsidRPr="00BE7D3C">
        <w:rPr>
          <w:rFonts w:cstheme="minorHAnsi"/>
          <w:sz w:val="20"/>
          <w:szCs w:val="20"/>
        </w:rPr>
        <w:t>:</w:t>
      </w:r>
    </w:p>
    <w:p w:rsidR="007F183D" w:rsidRPr="00BE7D3C" w:rsidRDefault="007F183D" w:rsidP="008129CB">
      <w:pPr>
        <w:autoSpaceDE w:val="0"/>
        <w:autoSpaceDN w:val="0"/>
        <w:adjustRightInd w:val="0"/>
        <w:spacing w:after="0" w:line="240" w:lineRule="auto"/>
        <w:ind w:left="709"/>
        <w:rPr>
          <w:rFonts w:cstheme="minorHAnsi"/>
          <w:sz w:val="20"/>
          <w:szCs w:val="20"/>
        </w:rPr>
      </w:pPr>
      <w:r w:rsidRPr="00BE7D3C">
        <w:rPr>
          <w:rFonts w:cstheme="minorHAnsi"/>
          <w:sz w:val="20"/>
          <w:szCs w:val="20"/>
        </w:rPr>
        <w:drawing>
          <wp:anchor distT="0" distB="0" distL="114300" distR="114300" simplePos="0" relativeHeight="251657728" behindDoc="0" locked="0" layoutInCell="1" allowOverlap="1" wp14:anchorId="41C49EBF">
            <wp:simplePos x="0" y="0"/>
            <wp:positionH relativeFrom="column">
              <wp:posOffset>1282065</wp:posOffset>
            </wp:positionH>
            <wp:positionV relativeFrom="paragraph">
              <wp:posOffset>85725</wp:posOffset>
            </wp:positionV>
            <wp:extent cx="2828925" cy="68389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28925" cy="683895"/>
                    </a:xfrm>
                    <a:prstGeom prst="rect">
                      <a:avLst/>
                    </a:prstGeom>
                  </pic:spPr>
                </pic:pic>
              </a:graphicData>
            </a:graphic>
            <wp14:sizeRelH relativeFrom="margin">
              <wp14:pctWidth>0</wp14:pctWidth>
            </wp14:sizeRelH>
            <wp14:sizeRelV relativeFrom="margin">
              <wp14:pctHeight>0</wp14:pctHeight>
            </wp14:sizeRelV>
          </wp:anchor>
        </w:drawing>
      </w:r>
    </w:p>
    <w:p w:rsidR="007F183D" w:rsidRPr="00BE7D3C" w:rsidRDefault="007F183D" w:rsidP="008129CB">
      <w:pPr>
        <w:autoSpaceDE w:val="0"/>
        <w:autoSpaceDN w:val="0"/>
        <w:adjustRightInd w:val="0"/>
        <w:spacing w:after="0" w:line="240" w:lineRule="auto"/>
        <w:ind w:left="709"/>
        <w:rPr>
          <w:rFonts w:cstheme="minorHAnsi"/>
          <w:sz w:val="20"/>
          <w:szCs w:val="20"/>
        </w:rPr>
      </w:pPr>
    </w:p>
    <w:p w:rsidR="007F183D" w:rsidRPr="00BE7D3C" w:rsidRDefault="007F183D" w:rsidP="008129CB">
      <w:pPr>
        <w:autoSpaceDE w:val="0"/>
        <w:autoSpaceDN w:val="0"/>
        <w:adjustRightInd w:val="0"/>
        <w:spacing w:after="0" w:line="240" w:lineRule="auto"/>
        <w:ind w:left="709"/>
        <w:rPr>
          <w:rFonts w:cstheme="minorHAnsi"/>
          <w:sz w:val="20"/>
          <w:szCs w:val="20"/>
        </w:rPr>
      </w:pPr>
    </w:p>
    <w:p w:rsidR="007F183D" w:rsidRPr="00BE7D3C" w:rsidRDefault="007F183D" w:rsidP="008129CB">
      <w:pPr>
        <w:autoSpaceDE w:val="0"/>
        <w:autoSpaceDN w:val="0"/>
        <w:adjustRightInd w:val="0"/>
        <w:spacing w:after="0" w:line="240" w:lineRule="auto"/>
        <w:ind w:left="709"/>
        <w:rPr>
          <w:rFonts w:cstheme="minorHAnsi"/>
          <w:sz w:val="20"/>
          <w:szCs w:val="20"/>
        </w:rPr>
      </w:pPr>
    </w:p>
    <w:p w:rsidR="007F183D" w:rsidRPr="00BE7D3C" w:rsidRDefault="007F183D" w:rsidP="008129CB">
      <w:pPr>
        <w:autoSpaceDE w:val="0"/>
        <w:autoSpaceDN w:val="0"/>
        <w:adjustRightInd w:val="0"/>
        <w:spacing w:after="0" w:line="240" w:lineRule="auto"/>
        <w:ind w:left="709"/>
        <w:rPr>
          <w:rFonts w:cstheme="minorHAnsi"/>
          <w:sz w:val="20"/>
          <w:szCs w:val="20"/>
        </w:rPr>
      </w:pPr>
    </w:p>
    <w:p w:rsidR="007F183D" w:rsidRPr="00BE7D3C" w:rsidRDefault="007F183D" w:rsidP="008129CB">
      <w:pPr>
        <w:autoSpaceDE w:val="0"/>
        <w:autoSpaceDN w:val="0"/>
        <w:adjustRightInd w:val="0"/>
        <w:spacing w:after="0" w:line="240" w:lineRule="auto"/>
        <w:ind w:left="709"/>
        <w:jc w:val="both"/>
        <w:rPr>
          <w:rFonts w:cstheme="minorHAnsi"/>
          <w:sz w:val="20"/>
          <w:szCs w:val="20"/>
        </w:rPr>
      </w:pPr>
      <w:r w:rsidRPr="00BE7D3C">
        <w:rPr>
          <w:rFonts w:cstheme="minorHAnsi"/>
          <w:sz w:val="20"/>
          <w:szCs w:val="20"/>
        </w:rPr>
        <w:t>El costo de conectar el servicio del agua al área es proporcional a la cantidad de unidades</w:t>
      </w:r>
      <w:r w:rsidRPr="00BE7D3C">
        <w:rPr>
          <w:rFonts w:cstheme="minorHAnsi"/>
          <w:sz w:val="20"/>
          <w:szCs w:val="20"/>
        </w:rPr>
        <w:t xml:space="preserve"> </w:t>
      </w:r>
      <w:r w:rsidRPr="00BE7D3C">
        <w:rPr>
          <w:rFonts w:cstheme="minorHAnsi"/>
          <w:sz w:val="20"/>
          <w:szCs w:val="20"/>
        </w:rPr>
        <w:t>construidas. Sin embargo, el municipio cobra un mínimo de $100,000 por el proyecto. Además,</w:t>
      </w:r>
      <w:r w:rsidRPr="00BE7D3C">
        <w:rPr>
          <w:rFonts w:cstheme="minorHAnsi"/>
          <w:sz w:val="20"/>
          <w:szCs w:val="20"/>
        </w:rPr>
        <w:t xml:space="preserve"> </w:t>
      </w:r>
      <w:r w:rsidRPr="00BE7D3C">
        <w:rPr>
          <w:rFonts w:cstheme="minorHAnsi"/>
          <w:sz w:val="20"/>
          <w:szCs w:val="20"/>
        </w:rPr>
        <w:t>el aumento de la capacidad actual del sistema de abastecimiento de agua se limita a 200,000 galones</w:t>
      </w:r>
      <w:r w:rsidRPr="00BE7D3C">
        <w:rPr>
          <w:rFonts w:cstheme="minorHAnsi"/>
          <w:sz w:val="20"/>
          <w:szCs w:val="20"/>
        </w:rPr>
        <w:t xml:space="preserve"> </w:t>
      </w:r>
      <w:r w:rsidRPr="00BE7D3C">
        <w:rPr>
          <w:rFonts w:cstheme="minorHAnsi"/>
          <w:sz w:val="20"/>
          <w:szCs w:val="20"/>
        </w:rPr>
        <w:t>por día, durante las temporadas pico. Los datos siguientes resumen el costo de conectar el</w:t>
      </w:r>
      <w:r w:rsidRPr="00BE7D3C">
        <w:rPr>
          <w:rFonts w:cstheme="minorHAnsi"/>
          <w:sz w:val="20"/>
          <w:szCs w:val="20"/>
        </w:rPr>
        <w:t xml:space="preserve"> </w:t>
      </w:r>
      <w:r w:rsidRPr="00BE7D3C">
        <w:rPr>
          <w:rFonts w:cstheme="minorHAnsi"/>
          <w:sz w:val="20"/>
          <w:szCs w:val="20"/>
        </w:rPr>
        <w:t>servicio del agua, y también el consumo de agua, suponiendo familias de tamaño promedio:</w:t>
      </w:r>
    </w:p>
    <w:p w:rsidR="007F183D" w:rsidRDefault="007F183D" w:rsidP="007F183D">
      <w:pPr>
        <w:autoSpaceDE w:val="0"/>
        <w:autoSpaceDN w:val="0"/>
        <w:adjustRightInd w:val="0"/>
        <w:spacing w:after="0" w:line="240" w:lineRule="auto"/>
        <w:jc w:val="both"/>
        <w:rPr>
          <w:rFonts w:ascii="Times New Roman" w:hAnsi="Times New Roman" w:cs="Times New Roman"/>
          <w:sz w:val="21"/>
          <w:szCs w:val="21"/>
        </w:rPr>
      </w:pPr>
      <w:r w:rsidRPr="007F183D">
        <w:rPr>
          <w:sz w:val="20"/>
          <w:szCs w:val="20"/>
        </w:rPr>
        <w:drawing>
          <wp:anchor distT="0" distB="0" distL="114300" distR="114300" simplePos="0" relativeHeight="251661824" behindDoc="0" locked="0" layoutInCell="1" allowOverlap="1" wp14:anchorId="0D2731F2">
            <wp:simplePos x="0" y="0"/>
            <wp:positionH relativeFrom="column">
              <wp:posOffset>353035</wp:posOffset>
            </wp:positionH>
            <wp:positionV relativeFrom="paragraph">
              <wp:posOffset>131089</wp:posOffset>
            </wp:positionV>
            <wp:extent cx="5069433" cy="743379"/>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69433" cy="743379"/>
                    </a:xfrm>
                    <a:prstGeom prst="rect">
                      <a:avLst/>
                    </a:prstGeom>
                  </pic:spPr>
                </pic:pic>
              </a:graphicData>
            </a:graphic>
            <wp14:sizeRelH relativeFrom="margin">
              <wp14:pctWidth>0</wp14:pctWidth>
            </wp14:sizeRelH>
            <wp14:sizeRelV relativeFrom="margin">
              <wp14:pctHeight>0</wp14:pctHeight>
            </wp14:sizeRelV>
          </wp:anchor>
        </w:drawing>
      </w:r>
    </w:p>
    <w:p w:rsidR="007F183D" w:rsidRDefault="007F183D" w:rsidP="007F183D">
      <w:pPr>
        <w:autoSpaceDE w:val="0"/>
        <w:autoSpaceDN w:val="0"/>
        <w:adjustRightInd w:val="0"/>
        <w:spacing w:after="0" w:line="240" w:lineRule="auto"/>
        <w:jc w:val="both"/>
        <w:rPr>
          <w:sz w:val="20"/>
          <w:szCs w:val="20"/>
        </w:rPr>
      </w:pPr>
    </w:p>
    <w:p w:rsidR="007F183D" w:rsidRDefault="007F183D" w:rsidP="007F183D">
      <w:pPr>
        <w:autoSpaceDE w:val="0"/>
        <w:autoSpaceDN w:val="0"/>
        <w:adjustRightInd w:val="0"/>
        <w:spacing w:after="0" w:line="240" w:lineRule="auto"/>
        <w:jc w:val="both"/>
        <w:rPr>
          <w:sz w:val="20"/>
          <w:szCs w:val="20"/>
        </w:rPr>
      </w:pPr>
    </w:p>
    <w:p w:rsidR="007F183D" w:rsidRDefault="007F183D" w:rsidP="007F183D">
      <w:pPr>
        <w:autoSpaceDE w:val="0"/>
        <w:autoSpaceDN w:val="0"/>
        <w:adjustRightInd w:val="0"/>
        <w:spacing w:after="0" w:line="240" w:lineRule="auto"/>
        <w:jc w:val="both"/>
        <w:rPr>
          <w:sz w:val="20"/>
          <w:szCs w:val="20"/>
        </w:rPr>
      </w:pPr>
    </w:p>
    <w:p w:rsidR="007F183D" w:rsidRDefault="007F183D" w:rsidP="007F183D">
      <w:pPr>
        <w:autoSpaceDE w:val="0"/>
        <w:autoSpaceDN w:val="0"/>
        <w:adjustRightInd w:val="0"/>
        <w:spacing w:after="0" w:line="240" w:lineRule="auto"/>
        <w:jc w:val="both"/>
        <w:rPr>
          <w:sz w:val="20"/>
          <w:szCs w:val="20"/>
        </w:rPr>
      </w:pPr>
    </w:p>
    <w:p w:rsidR="007F183D" w:rsidRDefault="007F183D" w:rsidP="007F183D">
      <w:pPr>
        <w:autoSpaceDE w:val="0"/>
        <w:autoSpaceDN w:val="0"/>
        <w:adjustRightInd w:val="0"/>
        <w:spacing w:after="0" w:line="240" w:lineRule="auto"/>
        <w:jc w:val="both"/>
        <w:rPr>
          <w:sz w:val="20"/>
          <w:szCs w:val="20"/>
        </w:rPr>
      </w:pPr>
    </w:p>
    <w:p w:rsidR="007F183D" w:rsidRDefault="007F183D" w:rsidP="007F183D">
      <w:pPr>
        <w:autoSpaceDE w:val="0"/>
        <w:autoSpaceDN w:val="0"/>
        <w:adjustRightInd w:val="0"/>
        <w:spacing w:after="0" w:line="240" w:lineRule="auto"/>
        <w:jc w:val="both"/>
        <w:rPr>
          <w:sz w:val="20"/>
          <w:szCs w:val="20"/>
        </w:rPr>
      </w:pPr>
    </w:p>
    <w:p w:rsidR="00BE7D3C" w:rsidRDefault="00BE7D3C" w:rsidP="007F183D">
      <w:pPr>
        <w:autoSpaceDE w:val="0"/>
        <w:autoSpaceDN w:val="0"/>
        <w:adjustRightInd w:val="0"/>
        <w:spacing w:after="0" w:line="240" w:lineRule="auto"/>
        <w:jc w:val="both"/>
        <w:rPr>
          <w:sz w:val="20"/>
          <w:szCs w:val="20"/>
        </w:rPr>
      </w:pPr>
      <w:bookmarkStart w:id="0" w:name="_GoBack"/>
      <w:bookmarkEnd w:id="0"/>
    </w:p>
    <w:p w:rsidR="00BE7D3C" w:rsidRPr="0095725C" w:rsidRDefault="00BE7D3C" w:rsidP="007F183D">
      <w:pPr>
        <w:autoSpaceDE w:val="0"/>
        <w:autoSpaceDN w:val="0"/>
        <w:adjustRightInd w:val="0"/>
        <w:spacing w:after="0" w:line="240" w:lineRule="auto"/>
        <w:jc w:val="both"/>
        <w:rPr>
          <w:sz w:val="20"/>
          <w:szCs w:val="20"/>
        </w:rPr>
      </w:pPr>
    </w:p>
    <w:sectPr w:rsidR="00BE7D3C" w:rsidRPr="0095725C" w:rsidSect="007741BD">
      <w:foot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793" w:rsidRDefault="00B51793" w:rsidP="00B51793">
      <w:pPr>
        <w:spacing w:after="0" w:line="240" w:lineRule="auto"/>
      </w:pPr>
      <w:r>
        <w:separator/>
      </w:r>
    </w:p>
  </w:endnote>
  <w:endnote w:type="continuationSeparator" w:id="0">
    <w:p w:rsidR="00B51793" w:rsidRDefault="00B51793" w:rsidP="00B5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016"/>
      <w:docPartObj>
        <w:docPartGallery w:val="Page Numbers (Bottom of Page)"/>
        <w:docPartUnique/>
      </w:docPartObj>
    </w:sdtPr>
    <w:sdtEndPr/>
    <w:sdtContent>
      <w:p w:rsidR="00B51793" w:rsidRDefault="00B51793" w:rsidP="00B51793">
        <w:pPr>
          <w:pStyle w:val="Piedepgina"/>
        </w:pPr>
        <w:r w:rsidRPr="00B51793">
          <w:rPr>
            <w:sz w:val="16"/>
            <w:szCs w:val="16"/>
          </w:rPr>
          <w:tab/>
        </w:r>
        <w:r w:rsidRPr="00B51793">
          <w:rPr>
            <w:sz w:val="16"/>
            <w:szCs w:val="16"/>
          </w:rPr>
          <w:tab/>
        </w:r>
        <w:r w:rsidR="00874DAC" w:rsidRPr="00B51793">
          <w:rPr>
            <w:sz w:val="16"/>
            <w:szCs w:val="16"/>
          </w:rPr>
          <w:fldChar w:fldCharType="begin"/>
        </w:r>
        <w:r w:rsidRPr="00B51793">
          <w:rPr>
            <w:sz w:val="16"/>
            <w:szCs w:val="16"/>
          </w:rPr>
          <w:instrText xml:space="preserve"> PAGE   \* MERGEFORMAT </w:instrText>
        </w:r>
        <w:r w:rsidR="00874DAC" w:rsidRPr="00B51793">
          <w:rPr>
            <w:sz w:val="16"/>
            <w:szCs w:val="16"/>
          </w:rPr>
          <w:fldChar w:fldCharType="separate"/>
        </w:r>
        <w:r w:rsidR="00160AFD">
          <w:rPr>
            <w:noProof/>
            <w:sz w:val="16"/>
            <w:szCs w:val="16"/>
          </w:rPr>
          <w:t>3</w:t>
        </w:r>
        <w:r w:rsidR="00874DAC" w:rsidRPr="00B51793">
          <w:rPr>
            <w:sz w:val="16"/>
            <w:szCs w:val="16"/>
          </w:rPr>
          <w:fldChar w:fldCharType="end"/>
        </w:r>
      </w:p>
    </w:sdtContent>
  </w:sdt>
  <w:p w:rsidR="00B51793" w:rsidRDefault="00B517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793" w:rsidRDefault="00B51793" w:rsidP="00B51793">
      <w:pPr>
        <w:spacing w:after="0" w:line="240" w:lineRule="auto"/>
      </w:pPr>
      <w:r>
        <w:separator/>
      </w:r>
    </w:p>
  </w:footnote>
  <w:footnote w:type="continuationSeparator" w:id="0">
    <w:p w:rsidR="00B51793" w:rsidRDefault="00B51793" w:rsidP="00B51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1221"/>
    <w:multiLevelType w:val="hybridMultilevel"/>
    <w:tmpl w:val="73BEABA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19CD0C81"/>
    <w:multiLevelType w:val="hybridMultilevel"/>
    <w:tmpl w:val="73BEABA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1B456DC3"/>
    <w:multiLevelType w:val="hybridMultilevel"/>
    <w:tmpl w:val="5282DC5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25F610D6"/>
    <w:multiLevelType w:val="hybridMultilevel"/>
    <w:tmpl w:val="EA94EB00"/>
    <w:lvl w:ilvl="0" w:tplc="7EE6C0F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6F24B82"/>
    <w:multiLevelType w:val="hybridMultilevel"/>
    <w:tmpl w:val="65DE8C3C"/>
    <w:lvl w:ilvl="0" w:tplc="BD62D4AC">
      <w:start w:val="1"/>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AA36A69"/>
    <w:multiLevelType w:val="hybridMultilevel"/>
    <w:tmpl w:val="9E54A52C"/>
    <w:lvl w:ilvl="0" w:tplc="F3BE473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FB56DD"/>
    <w:multiLevelType w:val="hybridMultilevel"/>
    <w:tmpl w:val="1D709BC8"/>
    <w:lvl w:ilvl="0" w:tplc="CA384E80">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7" w15:restartNumberingAfterBreak="0">
    <w:nsid w:val="3E5C1B39"/>
    <w:multiLevelType w:val="hybridMultilevel"/>
    <w:tmpl w:val="7CB0F656"/>
    <w:lvl w:ilvl="0" w:tplc="61A8BDDE">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A05D7C"/>
    <w:multiLevelType w:val="hybridMultilevel"/>
    <w:tmpl w:val="73BEABA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4F97196B"/>
    <w:multiLevelType w:val="hybridMultilevel"/>
    <w:tmpl w:val="74CC5A04"/>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6CC760F0"/>
    <w:multiLevelType w:val="hybridMultilevel"/>
    <w:tmpl w:val="41328C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6C41A6D"/>
    <w:multiLevelType w:val="hybridMultilevel"/>
    <w:tmpl w:val="573053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9579DE"/>
    <w:multiLevelType w:val="hybridMultilevel"/>
    <w:tmpl w:val="EA94EB00"/>
    <w:lvl w:ilvl="0" w:tplc="7EE6C0FA">
      <w:start w:val="1"/>
      <w:numFmt w:val="lowerLetter"/>
      <w:lvlText w:val="%1."/>
      <w:lvlJc w:val="left"/>
      <w:pPr>
        <w:ind w:left="107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0"/>
  </w:num>
  <w:num w:numId="2">
    <w:abstractNumId w:val="5"/>
  </w:num>
  <w:num w:numId="3">
    <w:abstractNumId w:val="11"/>
  </w:num>
  <w:num w:numId="4">
    <w:abstractNumId w:val="12"/>
  </w:num>
  <w:num w:numId="5">
    <w:abstractNumId w:val="4"/>
  </w:num>
  <w:num w:numId="6">
    <w:abstractNumId w:val="7"/>
  </w:num>
  <w:num w:numId="7">
    <w:abstractNumId w:val="3"/>
  </w:num>
  <w:num w:numId="8">
    <w:abstractNumId w:val="2"/>
  </w:num>
  <w:num w:numId="9">
    <w:abstractNumId w:val="8"/>
  </w:num>
  <w:num w:numId="10">
    <w:abstractNumId w:val="1"/>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FE"/>
    <w:rsid w:val="00014574"/>
    <w:rsid w:val="00037C7D"/>
    <w:rsid w:val="00047F15"/>
    <w:rsid w:val="00065DB5"/>
    <w:rsid w:val="0007404B"/>
    <w:rsid w:val="0009189F"/>
    <w:rsid w:val="000B7375"/>
    <w:rsid w:val="000F00AB"/>
    <w:rsid w:val="00146475"/>
    <w:rsid w:val="0016036E"/>
    <w:rsid w:val="00160AFD"/>
    <w:rsid w:val="00176826"/>
    <w:rsid w:val="00176B4D"/>
    <w:rsid w:val="0020284A"/>
    <w:rsid w:val="00292D3A"/>
    <w:rsid w:val="002D72FB"/>
    <w:rsid w:val="0033077D"/>
    <w:rsid w:val="00334B20"/>
    <w:rsid w:val="00350BF2"/>
    <w:rsid w:val="00352977"/>
    <w:rsid w:val="00371B46"/>
    <w:rsid w:val="003815E4"/>
    <w:rsid w:val="00391C1F"/>
    <w:rsid w:val="003A4A2E"/>
    <w:rsid w:val="003B14AF"/>
    <w:rsid w:val="003F5ECB"/>
    <w:rsid w:val="00450D26"/>
    <w:rsid w:val="00454AF0"/>
    <w:rsid w:val="004A3736"/>
    <w:rsid w:val="004C649D"/>
    <w:rsid w:val="004F7380"/>
    <w:rsid w:val="00514DA5"/>
    <w:rsid w:val="005534D9"/>
    <w:rsid w:val="005C34A0"/>
    <w:rsid w:val="00607944"/>
    <w:rsid w:val="00651A06"/>
    <w:rsid w:val="006E0DFE"/>
    <w:rsid w:val="006E25D8"/>
    <w:rsid w:val="007164AF"/>
    <w:rsid w:val="0072317F"/>
    <w:rsid w:val="0074281E"/>
    <w:rsid w:val="007524B6"/>
    <w:rsid w:val="00773CFD"/>
    <w:rsid w:val="007741BD"/>
    <w:rsid w:val="007A2217"/>
    <w:rsid w:val="007C7D07"/>
    <w:rsid w:val="007F183D"/>
    <w:rsid w:val="008129CB"/>
    <w:rsid w:val="00826B63"/>
    <w:rsid w:val="008323AB"/>
    <w:rsid w:val="00845445"/>
    <w:rsid w:val="00865DB2"/>
    <w:rsid w:val="00874DAC"/>
    <w:rsid w:val="008D1155"/>
    <w:rsid w:val="008E01AF"/>
    <w:rsid w:val="008F22B9"/>
    <w:rsid w:val="00903C8B"/>
    <w:rsid w:val="00906D9D"/>
    <w:rsid w:val="0095725C"/>
    <w:rsid w:val="0097480F"/>
    <w:rsid w:val="00981EA9"/>
    <w:rsid w:val="009B037F"/>
    <w:rsid w:val="009B3BAB"/>
    <w:rsid w:val="00A2309E"/>
    <w:rsid w:val="00A3222E"/>
    <w:rsid w:val="00A42847"/>
    <w:rsid w:val="00A50109"/>
    <w:rsid w:val="00A91091"/>
    <w:rsid w:val="00AA17BB"/>
    <w:rsid w:val="00AA5929"/>
    <w:rsid w:val="00AE7FE9"/>
    <w:rsid w:val="00B4729B"/>
    <w:rsid w:val="00B51793"/>
    <w:rsid w:val="00B8767B"/>
    <w:rsid w:val="00BB24CD"/>
    <w:rsid w:val="00BE04EB"/>
    <w:rsid w:val="00BE7D3C"/>
    <w:rsid w:val="00C02D28"/>
    <w:rsid w:val="00C07E27"/>
    <w:rsid w:val="00C11F84"/>
    <w:rsid w:val="00C208BC"/>
    <w:rsid w:val="00C76538"/>
    <w:rsid w:val="00D05B2F"/>
    <w:rsid w:val="00D56572"/>
    <w:rsid w:val="00D647A2"/>
    <w:rsid w:val="00D83919"/>
    <w:rsid w:val="00DA02D1"/>
    <w:rsid w:val="00E03EDA"/>
    <w:rsid w:val="00E31C29"/>
    <w:rsid w:val="00E97F88"/>
    <w:rsid w:val="00EE5851"/>
    <w:rsid w:val="00EF2716"/>
    <w:rsid w:val="00F1174D"/>
    <w:rsid w:val="00F53216"/>
    <w:rsid w:val="00F61C88"/>
    <w:rsid w:val="00F670F4"/>
    <w:rsid w:val="00F729CD"/>
    <w:rsid w:val="00F743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72" style="mso-position-horizontal:center;mso-width-percent:400;mso-height-percent:200;mso-width-relative:margin;mso-height-relative:margin" fillcolor="white">
      <v:fill color="white"/>
      <v:textbox style="mso-fit-shape-to-text:t"/>
    </o:shapedefaults>
    <o:shapelayout v:ext="edit">
      <o:idmap v:ext="edit" data="1"/>
      <o:rules v:ext="edit">
        <o:r id="V:Rule16" type="connector" idref="#AutoShape 4"/>
        <o:r id="V:Rule17" type="connector" idref="#AutoShape 8"/>
        <o:r id="V:Rule18" type="connector" idref="#AutoShape 5"/>
        <o:r id="V:Rule19" type="connector" idref="#AutoShape 17"/>
        <o:r id="V:Rule20" type="connector" idref="#AutoShape 16"/>
        <o:r id="V:Rule21" type="connector" idref="#AutoShape 9"/>
        <o:r id="V:Rule22" type="connector" idref="#AutoShape 10"/>
        <o:r id="V:Rule23" type="connector" idref="#AutoShape 26"/>
        <o:r id="V:Rule24" type="connector" idref="#AutoShape 27"/>
        <o:r id="V:Rule25" type="connector" idref="#AutoShape 31"/>
        <o:r id="V:Rule26" type="connector" idref="#AutoShape 30"/>
        <o:r id="V:Rule27" type="connector" idref="#AutoShape 20"/>
        <o:r id="V:Rule28" type="connector" idref="#AutoShape 21"/>
        <o:r id="V:Rule29" type="connector" idref="#AutoShape 34"/>
        <o:r id="V:Rule30" type="connector" idref="#AutoShape 35"/>
      </o:rules>
    </o:shapelayout>
  </w:shapeDefaults>
  <w:decimalSymbol w:val="."/>
  <w:listSeparator w:val=","/>
  <w14:docId w14:val="7F314D13"/>
  <w15:docId w15:val="{711E04DE-3541-4E64-B651-D7B46C16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0DFE"/>
    <w:pPr>
      <w:spacing w:after="0" w:line="240" w:lineRule="auto"/>
    </w:pPr>
  </w:style>
  <w:style w:type="paragraph" w:styleId="Prrafodelista">
    <w:name w:val="List Paragraph"/>
    <w:basedOn w:val="Normal"/>
    <w:uiPriority w:val="34"/>
    <w:qFormat/>
    <w:rsid w:val="00AE7FE9"/>
    <w:pPr>
      <w:ind w:left="720"/>
      <w:contextualSpacing/>
    </w:pPr>
  </w:style>
  <w:style w:type="paragraph" w:styleId="Sangra2detindependiente">
    <w:name w:val="Body Text Indent 2"/>
    <w:basedOn w:val="Normal"/>
    <w:link w:val="Sangra2detindependienteCar"/>
    <w:rsid w:val="00AE7FE9"/>
    <w:pPr>
      <w:spacing w:after="0" w:line="240" w:lineRule="auto"/>
      <w:ind w:firstLine="36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AE7FE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C34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34A0"/>
    <w:rPr>
      <w:rFonts w:ascii="Tahoma" w:hAnsi="Tahoma" w:cs="Tahoma"/>
      <w:sz w:val="16"/>
      <w:szCs w:val="16"/>
    </w:rPr>
  </w:style>
  <w:style w:type="table" w:styleId="Tablaconcuadrcula">
    <w:name w:val="Table Grid"/>
    <w:basedOn w:val="Tablanormal"/>
    <w:uiPriority w:val="59"/>
    <w:rsid w:val="00014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17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1793"/>
  </w:style>
  <w:style w:type="paragraph" w:styleId="Piedepgina">
    <w:name w:val="footer"/>
    <w:basedOn w:val="Normal"/>
    <w:link w:val="PiedepginaCar"/>
    <w:uiPriority w:val="99"/>
    <w:unhideWhenUsed/>
    <w:rsid w:val="00B517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1793"/>
  </w:style>
  <w:style w:type="paragraph" w:styleId="HTMLconformatoprevio">
    <w:name w:val="HTML Preformatted"/>
    <w:basedOn w:val="Normal"/>
    <w:link w:val="HTMLconformatoprevioCar"/>
    <w:uiPriority w:val="99"/>
    <w:semiHidden/>
    <w:unhideWhenUsed/>
    <w:rsid w:val="002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92D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6150">
      <w:bodyDiv w:val="1"/>
      <w:marLeft w:val="0"/>
      <w:marRight w:val="0"/>
      <w:marTop w:val="0"/>
      <w:marBottom w:val="0"/>
      <w:divBdr>
        <w:top w:val="none" w:sz="0" w:space="0" w:color="auto"/>
        <w:left w:val="none" w:sz="0" w:space="0" w:color="auto"/>
        <w:bottom w:val="none" w:sz="0" w:space="0" w:color="auto"/>
        <w:right w:val="none" w:sz="0" w:space="0" w:color="auto"/>
      </w:divBdr>
    </w:div>
    <w:div w:id="16880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693C3-6CE0-4FB0-9D4E-240B2B9C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5798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DrHumberto</dc:creator>
  <cp:lastModifiedBy>Humberto R. Alvarez A., Ph. D.</cp:lastModifiedBy>
  <cp:revision>2</cp:revision>
  <cp:lastPrinted>2019-06-10T20:24:00Z</cp:lastPrinted>
  <dcterms:created xsi:type="dcterms:W3CDTF">2019-06-10T20:27:00Z</dcterms:created>
  <dcterms:modified xsi:type="dcterms:W3CDTF">2019-06-10T20:27:00Z</dcterms:modified>
</cp:coreProperties>
</file>